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r>
        <w:rPr>
          <w:rFonts w:hint="eastAsia"/>
          <w:b w:val="0"/>
          <w:lang w:eastAsia="zh-CN"/>
        </w:rPr>
        <w:t>中共沙河市委网络安全和信息化委员会办公室</w:t>
      </w:r>
      <w:r>
        <w:rPr>
          <w:b w:val="0"/>
        </w:rPr>
        <w:t>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1"/>
        <w:gridCol w:w="3004"/>
        <w:gridCol w:w="3004"/>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999" w:type="pct"/>
            <w:tcBorders>
              <w:top w:val="single" w:color="FFFFFF" w:sz="6" w:space="0"/>
              <w:left w:val="single" w:color="FFFFFF" w:sz="6" w:space="0"/>
              <w:right w:val="single" w:color="FFFFFF" w:sz="6" w:space="0"/>
            </w:tcBorders>
          </w:tcPr>
          <w:p/>
        </w:tc>
        <w:tc>
          <w:tcPr>
            <w:tcW w:w="1000" w:type="pct"/>
            <w:tcBorders>
              <w:top w:val="single" w:color="FFFFFF" w:sz="6" w:space="0"/>
              <w:left w:val="single" w:color="FFFFFF" w:sz="6" w:space="0"/>
              <w:right w:val="single" w:color="FFFFFF" w:sz="6" w:space="0"/>
            </w:tcBorders>
            <w:vAlign w:val="center"/>
          </w:tcPr>
          <w:p>
            <w:pPr>
              <w:pStyle w:val="12"/>
            </w:pPr>
            <w:r>
              <w:t>预算年度：2022</w:t>
            </w:r>
          </w:p>
        </w:tc>
        <w:tc>
          <w:tcPr>
            <w:tcW w:w="1000" w:type="pct"/>
            <w:tcBorders>
              <w:top w:val="single" w:color="FFFFFF" w:sz="6" w:space="0"/>
              <w:left w:val="single" w:color="FFFFFF" w:sz="6" w:space="0"/>
              <w:right w:val="single" w:color="FFFFFF" w:sz="6" w:space="0"/>
            </w:tcBorders>
            <w:vAlign w:val="center"/>
          </w:tcPr>
          <w:p>
            <w:pPr>
              <w:pStyle w:val="11"/>
            </w:pPr>
            <w:r>
              <w:t>单位：万元</w:t>
            </w:r>
          </w:p>
        </w:tc>
        <w:tc>
          <w:tcPr>
            <w:tcW w:w="1000"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14"/>
            </w:pPr>
            <w:r>
              <w:t>序号</w:t>
            </w:r>
          </w:p>
        </w:tc>
        <w:tc>
          <w:tcPr>
            <w:tcW w:w="999" w:type="pct"/>
            <w:vAlign w:val="center"/>
          </w:tcPr>
          <w:p>
            <w:pPr>
              <w:pStyle w:val="14"/>
            </w:pPr>
            <w:r>
              <w:t>收入</w:t>
            </w:r>
          </w:p>
        </w:tc>
        <w:tc>
          <w:tcPr>
            <w:tcW w:w="1000" w:type="pct"/>
          </w:tcPr>
          <w:p/>
        </w:tc>
        <w:tc>
          <w:tcPr>
            <w:tcW w:w="1000" w:type="pct"/>
            <w:vAlign w:val="center"/>
          </w:tcPr>
          <w:p>
            <w:pPr>
              <w:pStyle w:val="14"/>
            </w:pPr>
            <w:r>
              <w:t>支出</w:t>
            </w:r>
          </w:p>
        </w:tc>
        <w:tc>
          <w:tcPr>
            <w:tcW w:w="1000"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tc>
        <w:tc>
          <w:tcPr>
            <w:tcW w:w="999" w:type="pct"/>
            <w:vAlign w:val="center"/>
          </w:tcPr>
          <w:p>
            <w:pPr>
              <w:pStyle w:val="14"/>
            </w:pPr>
            <w:r>
              <w:t>项  目</w:t>
            </w:r>
          </w:p>
        </w:tc>
        <w:tc>
          <w:tcPr>
            <w:tcW w:w="1000" w:type="pct"/>
            <w:vAlign w:val="center"/>
          </w:tcPr>
          <w:p>
            <w:pPr>
              <w:pStyle w:val="14"/>
            </w:pPr>
            <w:r>
              <w:t>预算数</w:t>
            </w:r>
          </w:p>
        </w:tc>
        <w:tc>
          <w:tcPr>
            <w:tcW w:w="1000" w:type="pct"/>
            <w:vAlign w:val="center"/>
          </w:tcPr>
          <w:p>
            <w:pPr>
              <w:pStyle w:val="14"/>
            </w:pPr>
            <w:r>
              <w:t>项  目</w:t>
            </w:r>
          </w:p>
        </w:tc>
        <w:tc>
          <w:tcPr>
            <w:tcW w:w="1000"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14"/>
            </w:pPr>
            <w:r>
              <w:t>栏次</w:t>
            </w:r>
          </w:p>
        </w:tc>
        <w:tc>
          <w:tcPr>
            <w:tcW w:w="999" w:type="pct"/>
            <w:vAlign w:val="center"/>
          </w:tcPr>
          <w:p>
            <w:pPr>
              <w:pStyle w:val="14"/>
            </w:pPr>
            <w:r>
              <w:t>1</w:t>
            </w:r>
          </w:p>
        </w:tc>
        <w:tc>
          <w:tcPr>
            <w:tcW w:w="1000" w:type="pct"/>
            <w:vAlign w:val="center"/>
          </w:tcPr>
          <w:p>
            <w:pPr>
              <w:pStyle w:val="14"/>
            </w:pPr>
            <w:r>
              <w:t>2</w:t>
            </w:r>
          </w:p>
        </w:tc>
        <w:tc>
          <w:tcPr>
            <w:tcW w:w="1000" w:type="pct"/>
            <w:vAlign w:val="center"/>
          </w:tcPr>
          <w:p>
            <w:pPr>
              <w:pStyle w:val="14"/>
            </w:pPr>
            <w:r>
              <w:t>3</w:t>
            </w:r>
          </w:p>
        </w:tc>
        <w:tc>
          <w:tcPr>
            <w:tcW w:w="1000"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w:t>
            </w:r>
          </w:p>
        </w:tc>
        <w:tc>
          <w:tcPr>
            <w:tcW w:w="999" w:type="pct"/>
            <w:vAlign w:val="center"/>
          </w:tcPr>
          <w:p>
            <w:pPr>
              <w:pStyle w:val="16"/>
            </w:pPr>
            <w:r>
              <w:t>一、一般公共预算拨款收入</w:t>
            </w:r>
          </w:p>
        </w:tc>
        <w:tc>
          <w:tcPr>
            <w:tcW w:w="1000" w:type="pct"/>
            <w:vAlign w:val="center"/>
          </w:tcPr>
          <w:p>
            <w:pPr>
              <w:pStyle w:val="15"/>
              <w:rPr>
                <w:rFonts w:hint="default" w:eastAsia="方正书宋_GBK"/>
                <w:lang w:val="en-US" w:eastAsia="zh-CN"/>
              </w:rPr>
            </w:pPr>
            <w:r>
              <w:rPr>
                <w:rFonts w:hint="eastAsia"/>
                <w:lang w:val="en-US" w:eastAsia="zh-CN"/>
              </w:rPr>
              <w:t>108.91</w:t>
            </w:r>
          </w:p>
        </w:tc>
        <w:tc>
          <w:tcPr>
            <w:tcW w:w="1000" w:type="pct"/>
            <w:vAlign w:val="center"/>
          </w:tcPr>
          <w:p>
            <w:pPr>
              <w:pStyle w:val="16"/>
            </w:pPr>
            <w:r>
              <w:t>一、一般公共服务支出</w:t>
            </w:r>
          </w:p>
        </w:tc>
        <w:tc>
          <w:tcPr>
            <w:tcW w:w="1000" w:type="pct"/>
            <w:vAlign w:val="center"/>
          </w:tcPr>
          <w:p>
            <w:pPr>
              <w:pStyle w:val="15"/>
              <w:rPr>
                <w:rFonts w:hint="default" w:eastAsia="方正书宋_GBK"/>
                <w:lang w:val="en-US" w:eastAsia="zh-CN"/>
              </w:rPr>
            </w:pPr>
            <w:r>
              <w:rPr>
                <w:rFonts w:hint="eastAsia"/>
                <w:lang w:val="en-US" w:eastAsia="zh-CN"/>
              </w:rPr>
              <w:t>89.76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w:t>
            </w:r>
          </w:p>
        </w:tc>
        <w:tc>
          <w:tcPr>
            <w:tcW w:w="999" w:type="pct"/>
            <w:vAlign w:val="center"/>
          </w:tcPr>
          <w:p>
            <w:pPr>
              <w:pStyle w:val="16"/>
            </w:pPr>
            <w:r>
              <w:t>二、政府性基金预算拨款收入</w:t>
            </w:r>
          </w:p>
        </w:tc>
        <w:tc>
          <w:tcPr>
            <w:tcW w:w="1000" w:type="pct"/>
            <w:vAlign w:val="center"/>
          </w:tcPr>
          <w:p>
            <w:pPr>
              <w:pStyle w:val="15"/>
            </w:pPr>
          </w:p>
        </w:tc>
        <w:tc>
          <w:tcPr>
            <w:tcW w:w="1000" w:type="pct"/>
            <w:vAlign w:val="center"/>
          </w:tcPr>
          <w:p>
            <w:pPr>
              <w:pStyle w:val="16"/>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w:t>
            </w:r>
          </w:p>
        </w:tc>
        <w:tc>
          <w:tcPr>
            <w:tcW w:w="999" w:type="pct"/>
            <w:vAlign w:val="center"/>
          </w:tcPr>
          <w:p>
            <w:pPr>
              <w:pStyle w:val="16"/>
            </w:pPr>
            <w:r>
              <w:t>三、国有资本经营预算拨款收入</w:t>
            </w:r>
          </w:p>
        </w:tc>
        <w:tc>
          <w:tcPr>
            <w:tcW w:w="1000" w:type="pct"/>
            <w:vAlign w:val="center"/>
          </w:tcPr>
          <w:p>
            <w:pPr>
              <w:pStyle w:val="15"/>
            </w:pPr>
          </w:p>
        </w:tc>
        <w:tc>
          <w:tcPr>
            <w:tcW w:w="1000" w:type="pct"/>
            <w:vAlign w:val="center"/>
          </w:tcPr>
          <w:p>
            <w:pPr>
              <w:pStyle w:val="16"/>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4</w:t>
            </w:r>
          </w:p>
        </w:tc>
        <w:tc>
          <w:tcPr>
            <w:tcW w:w="999" w:type="pct"/>
            <w:vAlign w:val="center"/>
          </w:tcPr>
          <w:p>
            <w:pPr>
              <w:pStyle w:val="16"/>
            </w:pPr>
            <w:r>
              <w:t>四、财政专户管理资金收入</w:t>
            </w:r>
          </w:p>
        </w:tc>
        <w:tc>
          <w:tcPr>
            <w:tcW w:w="1000" w:type="pct"/>
            <w:vAlign w:val="center"/>
          </w:tcPr>
          <w:p>
            <w:pPr>
              <w:pStyle w:val="15"/>
            </w:pPr>
          </w:p>
        </w:tc>
        <w:tc>
          <w:tcPr>
            <w:tcW w:w="1000" w:type="pct"/>
            <w:vAlign w:val="center"/>
          </w:tcPr>
          <w:p>
            <w:pPr>
              <w:pStyle w:val="16"/>
            </w:pPr>
            <w:r>
              <w:t>四、公共安全支出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5</w:t>
            </w:r>
          </w:p>
        </w:tc>
        <w:tc>
          <w:tcPr>
            <w:tcW w:w="999" w:type="pct"/>
            <w:vAlign w:val="center"/>
          </w:tcPr>
          <w:p>
            <w:pPr>
              <w:pStyle w:val="16"/>
            </w:pPr>
            <w:r>
              <w:t>五、事业收入</w:t>
            </w:r>
          </w:p>
        </w:tc>
        <w:tc>
          <w:tcPr>
            <w:tcW w:w="1000" w:type="pct"/>
            <w:vAlign w:val="center"/>
          </w:tcPr>
          <w:p>
            <w:pPr>
              <w:pStyle w:val="15"/>
            </w:pPr>
          </w:p>
        </w:tc>
        <w:tc>
          <w:tcPr>
            <w:tcW w:w="1000" w:type="pct"/>
            <w:vAlign w:val="center"/>
          </w:tcPr>
          <w:p>
            <w:pPr>
              <w:pStyle w:val="16"/>
            </w:pPr>
            <w:r>
              <w:t>五、教育支出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6</w:t>
            </w:r>
          </w:p>
        </w:tc>
        <w:tc>
          <w:tcPr>
            <w:tcW w:w="999" w:type="pct"/>
            <w:vAlign w:val="center"/>
          </w:tcPr>
          <w:p>
            <w:pPr>
              <w:pStyle w:val="16"/>
            </w:pPr>
            <w:r>
              <w:t>六、事业单位经营收入</w:t>
            </w:r>
          </w:p>
        </w:tc>
        <w:tc>
          <w:tcPr>
            <w:tcW w:w="1000" w:type="pct"/>
            <w:vAlign w:val="center"/>
          </w:tcPr>
          <w:p>
            <w:pPr>
              <w:pStyle w:val="15"/>
            </w:pPr>
          </w:p>
        </w:tc>
        <w:tc>
          <w:tcPr>
            <w:tcW w:w="1000" w:type="pct"/>
            <w:vAlign w:val="center"/>
          </w:tcPr>
          <w:p>
            <w:pPr>
              <w:pStyle w:val="16"/>
            </w:pPr>
            <w:r>
              <w:t>六、科学技术支出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7</w:t>
            </w:r>
          </w:p>
        </w:tc>
        <w:tc>
          <w:tcPr>
            <w:tcW w:w="999" w:type="pct"/>
            <w:vAlign w:val="center"/>
          </w:tcPr>
          <w:p>
            <w:pPr>
              <w:pStyle w:val="16"/>
            </w:pPr>
            <w:r>
              <w:t>七、上级补助收入</w:t>
            </w:r>
          </w:p>
        </w:tc>
        <w:tc>
          <w:tcPr>
            <w:tcW w:w="1000" w:type="pct"/>
            <w:vAlign w:val="center"/>
          </w:tcPr>
          <w:p>
            <w:pPr>
              <w:pStyle w:val="15"/>
            </w:pPr>
          </w:p>
        </w:tc>
        <w:tc>
          <w:tcPr>
            <w:tcW w:w="1000" w:type="pct"/>
            <w:vAlign w:val="center"/>
          </w:tcPr>
          <w:p>
            <w:pPr>
              <w:pStyle w:val="16"/>
            </w:pPr>
            <w:r>
              <w:t>七、文化旅游体育与传媒支出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8</w:t>
            </w:r>
          </w:p>
        </w:tc>
        <w:tc>
          <w:tcPr>
            <w:tcW w:w="999" w:type="pct"/>
            <w:vAlign w:val="center"/>
          </w:tcPr>
          <w:p>
            <w:pPr>
              <w:pStyle w:val="16"/>
            </w:pPr>
            <w:r>
              <w:t>八、附属单位上缴收入</w:t>
            </w:r>
          </w:p>
        </w:tc>
        <w:tc>
          <w:tcPr>
            <w:tcW w:w="1000" w:type="pct"/>
            <w:vAlign w:val="center"/>
          </w:tcPr>
          <w:p>
            <w:pPr>
              <w:pStyle w:val="15"/>
            </w:pPr>
          </w:p>
        </w:tc>
        <w:tc>
          <w:tcPr>
            <w:tcW w:w="1000" w:type="pct"/>
            <w:vAlign w:val="center"/>
          </w:tcPr>
          <w:p>
            <w:pPr>
              <w:pStyle w:val="16"/>
            </w:pPr>
            <w:r>
              <w:t>八、社会保障和就业支出</w:t>
            </w:r>
          </w:p>
        </w:tc>
        <w:tc>
          <w:tcPr>
            <w:tcW w:w="1000" w:type="pct"/>
            <w:vAlign w:val="center"/>
          </w:tcPr>
          <w:p>
            <w:pPr>
              <w:pStyle w:val="15"/>
              <w:rPr>
                <w:rFonts w:hint="default" w:eastAsia="方正书宋_GBK"/>
                <w:lang w:val="en-US" w:eastAsia="zh-CN"/>
              </w:rPr>
            </w:pPr>
            <w:r>
              <w:rPr>
                <w:rFonts w:hint="eastAsia"/>
                <w:lang w:val="en-US" w:eastAsia="zh-CN"/>
              </w:rP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9</w:t>
            </w:r>
          </w:p>
        </w:tc>
        <w:tc>
          <w:tcPr>
            <w:tcW w:w="999" w:type="pct"/>
            <w:vAlign w:val="center"/>
          </w:tcPr>
          <w:p>
            <w:pPr>
              <w:pStyle w:val="16"/>
            </w:pPr>
            <w:r>
              <w:t>九、其他收入</w:t>
            </w:r>
          </w:p>
        </w:tc>
        <w:tc>
          <w:tcPr>
            <w:tcW w:w="1000" w:type="pct"/>
            <w:vAlign w:val="center"/>
          </w:tcPr>
          <w:p>
            <w:pPr>
              <w:pStyle w:val="15"/>
            </w:pPr>
          </w:p>
        </w:tc>
        <w:tc>
          <w:tcPr>
            <w:tcW w:w="1000" w:type="pct"/>
            <w:vAlign w:val="center"/>
          </w:tcPr>
          <w:p>
            <w:pPr>
              <w:pStyle w:val="16"/>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10</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十、卫生健康支出</w:t>
            </w:r>
          </w:p>
        </w:tc>
        <w:tc>
          <w:tcPr>
            <w:tcW w:w="1000" w:type="pct"/>
            <w:vAlign w:val="center"/>
          </w:tcPr>
          <w:p>
            <w:pPr>
              <w:pStyle w:val="15"/>
              <w:rPr>
                <w:rFonts w:hint="default" w:eastAsia="方正书宋_GBK"/>
                <w:lang w:val="en-US" w:eastAsia="zh-CN"/>
              </w:rPr>
            </w:pPr>
            <w:r>
              <w:rPr>
                <w:rFonts w:hint="eastAsia"/>
                <w:lang w:val="en-US" w:eastAsia="zh-CN"/>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11</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十一、节能环保支出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12</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十二、城乡社区支出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13</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十三、农林水支出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14</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15</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十五、资源勘探工业信息等支出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16</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17</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18</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19</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20</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二十、住房保障支出</w:t>
            </w:r>
          </w:p>
        </w:tc>
        <w:tc>
          <w:tcPr>
            <w:tcW w:w="1000" w:type="pct"/>
            <w:vAlign w:val="center"/>
          </w:tcPr>
          <w:p>
            <w:pPr>
              <w:pStyle w:val="15"/>
              <w:rPr>
                <w:rFonts w:hint="default" w:eastAsia="方正书宋_GBK"/>
                <w:lang w:val="en-US" w:eastAsia="zh-CN"/>
              </w:rPr>
            </w:pPr>
            <w:r>
              <w:rPr>
                <w:rFonts w:hint="eastAsia"/>
                <w:lang w:val="en-US" w:eastAsia="zh-CN"/>
              </w:rP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21</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二十一、粮油物资储备支出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22</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23</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二十三、灾害防治及应急管理支出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24</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二十四、预备费</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25</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二十五、其他支出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26</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27</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二十七、债务还本支出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28</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29</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30</w:t>
            </w:r>
          </w:p>
        </w:tc>
        <w:tc>
          <w:tcPr>
            <w:tcW w:w="999" w:type="pct"/>
            <w:vAlign w:val="center"/>
          </w:tcPr>
          <w:p>
            <w:pPr>
              <w:pStyle w:val="16"/>
            </w:pPr>
          </w:p>
        </w:tc>
        <w:tc>
          <w:tcPr>
            <w:tcW w:w="1000" w:type="pct"/>
            <w:vAlign w:val="center"/>
          </w:tcPr>
          <w:p>
            <w:pPr>
              <w:pStyle w:val="15"/>
            </w:pPr>
          </w:p>
        </w:tc>
        <w:tc>
          <w:tcPr>
            <w:tcW w:w="1000" w:type="pct"/>
            <w:vAlign w:val="center"/>
          </w:tcPr>
          <w:p>
            <w:pPr>
              <w:pStyle w:val="16"/>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31</w:t>
            </w:r>
          </w:p>
        </w:tc>
        <w:tc>
          <w:tcPr>
            <w:tcW w:w="999" w:type="pct"/>
            <w:vAlign w:val="center"/>
          </w:tcPr>
          <w:p>
            <w:pPr>
              <w:pStyle w:val="18"/>
            </w:pPr>
            <w:r>
              <w:t>本年收入合计</w:t>
            </w:r>
          </w:p>
        </w:tc>
        <w:tc>
          <w:tcPr>
            <w:tcW w:w="1000" w:type="pct"/>
            <w:vAlign w:val="center"/>
          </w:tcPr>
          <w:p>
            <w:pPr>
              <w:pStyle w:val="19"/>
              <w:rPr>
                <w:rFonts w:hint="default" w:eastAsia="方正书宋_GBK"/>
                <w:lang w:val="en-US" w:eastAsia="zh-CN"/>
              </w:rPr>
            </w:pPr>
            <w:r>
              <w:rPr>
                <w:rFonts w:hint="eastAsia"/>
                <w:lang w:val="en-US" w:eastAsia="zh-CN"/>
              </w:rPr>
              <w:t>108.91</w:t>
            </w:r>
          </w:p>
        </w:tc>
        <w:tc>
          <w:tcPr>
            <w:tcW w:w="1000" w:type="pct"/>
            <w:vAlign w:val="center"/>
          </w:tcPr>
          <w:p>
            <w:pPr>
              <w:pStyle w:val="18"/>
            </w:pPr>
            <w:r>
              <w:t>本年支出合计</w:t>
            </w:r>
          </w:p>
        </w:tc>
        <w:tc>
          <w:tcPr>
            <w:tcW w:w="1000" w:type="pct"/>
            <w:vAlign w:val="center"/>
          </w:tcPr>
          <w:p>
            <w:pPr>
              <w:pStyle w:val="19"/>
              <w:rPr>
                <w:rFonts w:hint="default" w:eastAsia="方正书宋_GBK"/>
                <w:lang w:val="en-US" w:eastAsia="zh-CN"/>
              </w:rPr>
            </w:pPr>
            <w:r>
              <w:rPr>
                <w:rFonts w:hint="eastAsia"/>
                <w:lang w:val="en-US" w:eastAsia="zh-CN"/>
              </w:rPr>
              <w:t>108.91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32</w:t>
            </w:r>
          </w:p>
        </w:tc>
        <w:tc>
          <w:tcPr>
            <w:tcW w:w="999" w:type="pct"/>
            <w:vAlign w:val="center"/>
          </w:tcPr>
          <w:p>
            <w:pPr>
              <w:pStyle w:val="16"/>
            </w:pPr>
            <w:r>
              <w:t>上年结转结余</w:t>
            </w:r>
          </w:p>
        </w:tc>
        <w:tc>
          <w:tcPr>
            <w:tcW w:w="1000" w:type="pct"/>
            <w:vAlign w:val="center"/>
          </w:tcPr>
          <w:p>
            <w:pPr>
              <w:pStyle w:val="15"/>
            </w:pPr>
          </w:p>
        </w:tc>
        <w:tc>
          <w:tcPr>
            <w:tcW w:w="1000" w:type="pct"/>
            <w:vAlign w:val="center"/>
          </w:tcPr>
          <w:p>
            <w:pPr>
              <w:pStyle w:val="16"/>
            </w:pPr>
            <w:r>
              <w:t>年终结转结余</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7"/>
            </w:pPr>
            <w:r>
              <w:t>33</w:t>
            </w:r>
          </w:p>
        </w:tc>
        <w:tc>
          <w:tcPr>
            <w:tcW w:w="999" w:type="pct"/>
            <w:vAlign w:val="center"/>
          </w:tcPr>
          <w:p>
            <w:pPr>
              <w:pStyle w:val="18"/>
            </w:pPr>
            <w:r>
              <w:t>收入总计</w:t>
            </w:r>
          </w:p>
        </w:tc>
        <w:tc>
          <w:tcPr>
            <w:tcW w:w="1000" w:type="pct"/>
            <w:vAlign w:val="center"/>
          </w:tcPr>
          <w:p>
            <w:pPr>
              <w:pStyle w:val="19"/>
            </w:pPr>
            <w:r>
              <w:rPr>
                <w:rFonts w:hint="eastAsia"/>
                <w:lang w:val="en-US" w:eastAsia="zh-CN"/>
              </w:rPr>
              <w:t>108.91</w:t>
            </w:r>
          </w:p>
        </w:tc>
        <w:tc>
          <w:tcPr>
            <w:tcW w:w="1000" w:type="pct"/>
            <w:vAlign w:val="center"/>
          </w:tcPr>
          <w:p>
            <w:pPr>
              <w:pStyle w:val="18"/>
            </w:pPr>
            <w:r>
              <w:t>支出总计</w:t>
            </w:r>
          </w:p>
        </w:tc>
        <w:tc>
          <w:tcPr>
            <w:tcW w:w="1000" w:type="pct"/>
            <w:vAlign w:val="center"/>
          </w:tcPr>
          <w:p>
            <w:pPr>
              <w:pStyle w:val="19"/>
            </w:pPr>
            <w:r>
              <w:rPr>
                <w:rFonts w:hint="eastAsia"/>
                <w:lang w:val="en-US" w:eastAsia="zh-CN"/>
              </w:rPr>
              <w:t>108.91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4"/>
        <w:gridCol w:w="1154"/>
        <w:gridCol w:w="1155"/>
        <w:gridCol w:w="1155"/>
        <w:gridCol w:w="1155"/>
        <w:gridCol w:w="1155"/>
        <w:gridCol w:w="1155"/>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tcBorders>
              <w:top w:val="single" w:color="FFFFFF" w:sz="6" w:space="0"/>
              <w:left w:val="single" w:color="FFFFFF" w:sz="6" w:space="0"/>
              <w:right w:val="single" w:color="FFFFFF" w:sz="6" w:space="0"/>
            </w:tcBorders>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eastAsia="方正小标宋_GBK"/>
                <w:lang w:eastAsia="zh-CN"/>
              </w:rPr>
            </w:pPr>
            <w:r>
              <w:rPr>
                <w:rFonts w:hint="eastAsia"/>
                <w:sz w:val="22"/>
                <w:szCs w:val="22"/>
                <w:lang w:eastAsia="zh-CN"/>
              </w:rPr>
              <w:t>137中共沙河市委网络安全和信息化委员会办公室</w:t>
            </w: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r>
              <w:t>预算年度：2022</w:t>
            </w: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r>
              <w:t>单位：万元</w:t>
            </w:r>
          </w:p>
        </w:tc>
        <w:tc>
          <w:tcPr>
            <w:tcW w:w="384" w:type="pct"/>
            <w:tcBorders>
              <w:top w:val="single" w:color="FFFFFF" w:sz="6" w:space="0"/>
              <w:left w:val="single" w:color="FFFFFF" w:sz="6" w:space="0"/>
              <w:right w:val="single" w:color="FFFFFF" w:sz="6" w:space="0"/>
            </w:tcBorders>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pPr>
          </w:p>
        </w:tc>
        <w:tc>
          <w:tcPr>
            <w:tcW w:w="384" w:type="pct"/>
            <w:tcBorders>
              <w:top w:val="single" w:color="FFFFFF" w:sz="6" w:space="0"/>
              <w:left w:val="single" w:color="FFFFFF" w:sz="6" w:space="0"/>
              <w:right w:val="single" w:color="FFFFFF" w:sz="6" w:space="0"/>
            </w:tcBorders>
          </w:tcPr>
          <w:p/>
        </w:tc>
        <w:tc>
          <w:tcPr>
            <w:tcW w:w="384" w:type="pct"/>
            <w:tcBorders>
              <w:top w:val="single" w:color="FFFFFF" w:sz="6" w:space="0"/>
              <w:left w:val="single" w:color="FFFFFF" w:sz="6" w:space="0"/>
              <w:right w:val="single" w:color="FFFFFF" w:sz="6" w:space="0"/>
            </w:tcBorders>
          </w:tcPr>
          <w:p/>
        </w:tc>
        <w:tc>
          <w:tcPr>
            <w:tcW w:w="384"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384" w:type="pct"/>
            <w:vAlign w:val="center"/>
          </w:tcPr>
          <w:p>
            <w:pPr>
              <w:pStyle w:val="14"/>
            </w:pPr>
            <w:r>
              <w:t>功能分类科目</w:t>
            </w:r>
          </w:p>
        </w:tc>
        <w:tc>
          <w:tcPr>
            <w:tcW w:w="384" w:type="pct"/>
          </w:tcPr>
          <w:p/>
        </w:tc>
        <w:tc>
          <w:tcPr>
            <w:tcW w:w="384" w:type="pct"/>
            <w:vMerge w:val="restart"/>
            <w:vAlign w:val="center"/>
          </w:tcPr>
          <w:p>
            <w:pPr>
              <w:pStyle w:val="14"/>
            </w:pPr>
            <w:r>
              <w:t>合计</w:t>
            </w:r>
          </w:p>
        </w:tc>
        <w:tc>
          <w:tcPr>
            <w:tcW w:w="384" w:type="pct"/>
            <w:vAlign w:val="center"/>
          </w:tcPr>
          <w:p>
            <w:pPr>
              <w:pStyle w:val="14"/>
            </w:pPr>
            <w:r>
              <w:t>本年收入</w:t>
            </w:r>
          </w:p>
        </w:tc>
        <w:tc>
          <w:tcPr>
            <w:tcW w:w="384" w:type="pct"/>
          </w:tcPr>
          <w:p/>
        </w:tc>
        <w:tc>
          <w:tcPr>
            <w:tcW w:w="384" w:type="pct"/>
          </w:tcPr>
          <w:p/>
        </w:tc>
        <w:tc>
          <w:tcPr>
            <w:tcW w:w="384" w:type="pct"/>
          </w:tcPr>
          <w:p/>
        </w:tc>
        <w:tc>
          <w:tcPr>
            <w:tcW w:w="384" w:type="pct"/>
          </w:tcPr>
          <w:p/>
        </w:tc>
        <w:tc>
          <w:tcPr>
            <w:tcW w:w="384" w:type="pct"/>
          </w:tcPr>
          <w:p/>
        </w:tc>
        <w:tc>
          <w:tcPr>
            <w:tcW w:w="384" w:type="pct"/>
          </w:tcPr>
          <w:p/>
        </w:tc>
        <w:tc>
          <w:tcPr>
            <w:tcW w:w="384" w:type="pct"/>
          </w:tcP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p>
        </w:tc>
        <w:tc>
          <w:tcPr>
            <w:tcW w:w="384" w:type="pct"/>
            <w:vAlign w:val="center"/>
          </w:tcPr>
          <w:p>
            <w:pPr>
              <w:pStyle w:val="16"/>
              <w:rPr>
                <w:rFonts w:hint="default" w:eastAsia="方正书宋_GBK"/>
                <w:lang w:val="en-US" w:eastAsia="zh-CN"/>
              </w:rPr>
            </w:pPr>
            <w:r>
              <w:rPr>
                <w:rFonts w:hint="eastAsia"/>
                <w:lang w:val="en-US" w:eastAsia="zh-CN"/>
              </w:rPr>
              <w:t>201</w:t>
            </w:r>
          </w:p>
        </w:tc>
        <w:tc>
          <w:tcPr>
            <w:tcW w:w="384" w:type="pct"/>
            <w:vAlign w:val="center"/>
          </w:tcPr>
          <w:p>
            <w:pPr>
              <w:pStyle w:val="16"/>
            </w:pPr>
            <w:r>
              <w:t>一般公共预算拨款收入</w:t>
            </w:r>
          </w:p>
        </w:tc>
        <w:tc>
          <w:tcPr>
            <w:tcW w:w="384" w:type="pct"/>
            <w:vAlign w:val="center"/>
          </w:tcPr>
          <w:p>
            <w:pPr>
              <w:pStyle w:val="15"/>
              <w:rPr>
                <w:rFonts w:hint="default" w:eastAsia="方正书宋_GBK"/>
                <w:lang w:val="en-US" w:eastAsia="zh-CN"/>
              </w:rPr>
            </w:pPr>
            <w:r>
              <w:rPr>
                <w:rFonts w:hint="eastAsia"/>
                <w:lang w:val="en-US" w:eastAsia="zh-CN"/>
              </w:rPr>
              <w:t>108.91</w:t>
            </w:r>
          </w:p>
        </w:tc>
        <w:tc>
          <w:tcPr>
            <w:tcW w:w="384" w:type="pct"/>
            <w:vAlign w:val="center"/>
          </w:tcPr>
          <w:p>
            <w:pPr>
              <w:pStyle w:val="15"/>
              <w:rPr>
                <w:rFonts w:hint="default" w:eastAsia="方正书宋_GBK"/>
                <w:lang w:val="en-US" w:eastAsia="zh-CN"/>
              </w:rPr>
            </w:pPr>
            <w:r>
              <w:rPr>
                <w:rFonts w:hint="eastAsia"/>
                <w:lang w:val="en-US" w:eastAsia="zh-CN"/>
              </w:rPr>
              <w:t>108.91</w:t>
            </w:r>
          </w:p>
        </w:tc>
        <w:tc>
          <w:tcPr>
            <w:tcW w:w="384" w:type="pct"/>
            <w:vAlign w:val="center"/>
          </w:tcPr>
          <w:p>
            <w:pPr>
              <w:pStyle w:val="15"/>
              <w:tabs>
                <w:tab w:val="left" w:pos="304"/>
              </w:tabs>
              <w:jc w:val="left"/>
              <w:rPr>
                <w:rFonts w:hint="default" w:eastAsia="方正书宋_GBK"/>
                <w:lang w:val="en-US" w:eastAsia="zh-CN"/>
              </w:rPr>
            </w:pPr>
            <w:r>
              <w:rPr>
                <w:rFonts w:hint="eastAsia"/>
                <w:lang w:val="en-US" w:eastAsia="zh-CN"/>
              </w:rPr>
              <w:t>108.91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68"/>
        <w:gridCol w:w="1668"/>
        <w:gridCol w:w="1668"/>
        <w:gridCol w:w="1668"/>
        <w:gridCol w:w="1668"/>
        <w:gridCol w:w="1668"/>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vAlign w:val="center"/>
          </w:tcPr>
          <w:p>
            <w:pPr>
              <w:pStyle w:val="12"/>
            </w:pPr>
            <w:r>
              <w:t>预算年度：2022</w:t>
            </w: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vAlign w:val="center"/>
          </w:tcPr>
          <w:p>
            <w:pPr>
              <w:pStyle w:val="11"/>
            </w:pPr>
            <w:r>
              <w:t>单位：万元</w:t>
            </w: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tcPr>
          <w:p/>
        </w:tc>
        <w:tc>
          <w:tcPr>
            <w:tcW w:w="555"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555" w:type="pct"/>
            <w:vAlign w:val="center"/>
          </w:tcPr>
          <w:p>
            <w:pPr>
              <w:pStyle w:val="14"/>
            </w:pPr>
            <w:r>
              <w:t>功能分类科目</w:t>
            </w:r>
          </w:p>
        </w:tc>
        <w:tc>
          <w:tcPr>
            <w:tcW w:w="555" w:type="pct"/>
          </w:tcP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p>
        </w:tc>
        <w:tc>
          <w:tcPr>
            <w:tcW w:w="555" w:type="pct"/>
            <w:vAlign w:val="center"/>
          </w:tcPr>
          <w:p>
            <w:pPr>
              <w:pStyle w:val="16"/>
              <w:rPr>
                <w:rFonts w:hint="default" w:eastAsia="方正书宋_GBK"/>
                <w:lang w:val="en-US" w:eastAsia="zh-CN"/>
              </w:rPr>
            </w:pPr>
            <w:r>
              <w:rPr>
                <w:rFonts w:hint="eastAsia"/>
                <w:lang w:val="en-US" w:eastAsia="zh-CN"/>
              </w:rPr>
              <w:t>201</w:t>
            </w:r>
          </w:p>
        </w:tc>
        <w:tc>
          <w:tcPr>
            <w:tcW w:w="555" w:type="pct"/>
            <w:vAlign w:val="center"/>
          </w:tcPr>
          <w:p>
            <w:pPr>
              <w:pStyle w:val="16"/>
            </w:pPr>
            <w:r>
              <w:t>一般公共预算拨款收入</w:t>
            </w:r>
          </w:p>
        </w:tc>
        <w:tc>
          <w:tcPr>
            <w:tcW w:w="555" w:type="pct"/>
            <w:vAlign w:val="center"/>
          </w:tcPr>
          <w:p>
            <w:pPr>
              <w:pStyle w:val="15"/>
              <w:rPr>
                <w:rFonts w:hint="default" w:eastAsia="方正书宋_GBK"/>
                <w:lang w:val="en-US" w:eastAsia="zh-CN"/>
              </w:rPr>
            </w:pPr>
            <w:r>
              <w:rPr>
                <w:rFonts w:hint="eastAsia"/>
                <w:lang w:val="en-US" w:eastAsia="zh-CN"/>
              </w:rPr>
              <w:t>108.91</w:t>
            </w:r>
          </w:p>
        </w:tc>
        <w:tc>
          <w:tcPr>
            <w:tcW w:w="555" w:type="pct"/>
            <w:vAlign w:val="center"/>
          </w:tcPr>
          <w:p>
            <w:pPr>
              <w:pStyle w:val="15"/>
              <w:rPr>
                <w:rFonts w:hint="default" w:eastAsia="方正书宋_GBK"/>
                <w:lang w:val="en-US" w:eastAsia="zh-CN"/>
              </w:rPr>
            </w:pPr>
            <w:r>
              <w:rPr>
                <w:rFonts w:hint="eastAsia"/>
                <w:lang w:val="en-US" w:eastAsia="zh-CN"/>
              </w:rPr>
              <w:t>59.36</w:t>
            </w:r>
          </w:p>
        </w:tc>
        <w:tc>
          <w:tcPr>
            <w:tcW w:w="555" w:type="pct"/>
            <w:vAlign w:val="center"/>
          </w:tcPr>
          <w:p>
            <w:pPr>
              <w:pStyle w:val="15"/>
              <w:rPr>
                <w:rFonts w:hint="default" w:eastAsia="方正书宋_GBK"/>
                <w:lang w:val="en-US" w:eastAsia="zh-CN"/>
              </w:rPr>
            </w:pPr>
            <w:r>
              <w:rPr>
                <w:rFonts w:hint="eastAsia"/>
                <w:lang w:val="en-US" w:eastAsia="zh-CN"/>
              </w:rPr>
              <w:t>49.55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vAlign w:val="center"/>
          </w:tcPr>
          <w:p>
            <w:pPr>
              <w:pStyle w:val="12"/>
            </w:pPr>
            <w:r>
              <w:t>预算年度：2022</w:t>
            </w:r>
          </w:p>
        </w:tc>
        <w:tc>
          <w:tcPr>
            <w:tcW w:w="625" w:type="pct"/>
            <w:tcBorders>
              <w:top w:val="single" w:color="FFFFFF" w:sz="6" w:space="0"/>
              <w:left w:val="single" w:color="FFFFFF" w:sz="6" w:space="0"/>
              <w:right w:val="single" w:color="FFFFFF" w:sz="6" w:space="0"/>
            </w:tcBorders>
            <w:vAlign w:val="center"/>
          </w:tcPr>
          <w:p>
            <w:pPr>
              <w:pStyle w:val="11"/>
            </w:pPr>
            <w:r>
              <w:t>单位：万元</w:t>
            </w: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tcPr>
          <w:p/>
        </w:tc>
        <w:tc>
          <w:tcPr>
            <w:tcW w:w="625"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625" w:type="pct"/>
            <w:vAlign w:val="center"/>
          </w:tcPr>
          <w:p>
            <w:pPr>
              <w:pStyle w:val="14"/>
            </w:pPr>
            <w:r>
              <w:t>收入</w:t>
            </w:r>
          </w:p>
        </w:tc>
        <w:tc>
          <w:tcPr>
            <w:tcW w:w="625" w:type="pct"/>
          </w:tcPr>
          <w:p/>
        </w:tc>
        <w:tc>
          <w:tcPr>
            <w:tcW w:w="625" w:type="pct"/>
            <w:vAlign w:val="center"/>
          </w:tcPr>
          <w:p>
            <w:pPr>
              <w:pStyle w:val="14"/>
            </w:pPr>
            <w:r>
              <w:t>支出</w:t>
            </w:r>
          </w:p>
        </w:tc>
        <w:tc>
          <w:tcPr>
            <w:tcW w:w="625" w:type="pct"/>
          </w:tcPr>
          <w:p/>
        </w:tc>
        <w:tc>
          <w:tcPr>
            <w:tcW w:w="625" w:type="pct"/>
          </w:tcPr>
          <w:p/>
        </w:tc>
        <w:tc>
          <w:tcPr>
            <w:tcW w:w="625" w:type="pct"/>
          </w:tcPr>
          <w:p/>
        </w:tc>
        <w:tc>
          <w:tcPr>
            <w:tcW w:w="625"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rPr>
                <w:rFonts w:hint="default" w:eastAsia="方正书宋_GBK"/>
                <w:lang w:val="en-US" w:eastAsia="zh-CN"/>
              </w:rPr>
            </w:pPr>
            <w:r>
              <w:rPr>
                <w:rFonts w:hint="eastAsia"/>
                <w:lang w:val="en-US" w:eastAsia="zh-CN"/>
              </w:rPr>
              <w:t>108.91</w:t>
            </w:r>
          </w:p>
        </w:tc>
        <w:tc>
          <w:tcPr>
            <w:tcW w:w="625" w:type="pct"/>
            <w:vAlign w:val="center"/>
          </w:tcPr>
          <w:p>
            <w:pPr>
              <w:pStyle w:val="16"/>
            </w:pPr>
            <w:r>
              <w:t>一、一般公共服务支出</w:t>
            </w:r>
          </w:p>
        </w:tc>
        <w:tc>
          <w:tcPr>
            <w:tcW w:w="625" w:type="pct"/>
            <w:vAlign w:val="center"/>
          </w:tcPr>
          <w:p>
            <w:pPr>
              <w:pStyle w:val="15"/>
              <w:rPr>
                <w:rFonts w:hint="default" w:eastAsia="方正书宋_GBK"/>
                <w:lang w:val="en-US" w:eastAsia="zh-CN"/>
              </w:rPr>
            </w:pPr>
            <w:r>
              <w:rPr>
                <w:rFonts w:hint="eastAsia"/>
                <w:lang w:val="en-US" w:eastAsia="zh-CN"/>
              </w:rPr>
              <w:t>89.76</w:t>
            </w:r>
          </w:p>
        </w:tc>
        <w:tc>
          <w:tcPr>
            <w:tcW w:w="625" w:type="pct"/>
            <w:vAlign w:val="center"/>
          </w:tcPr>
          <w:p>
            <w:pPr>
              <w:pStyle w:val="15"/>
              <w:rPr>
                <w:rFonts w:hint="default" w:eastAsia="方正书宋_GBK"/>
                <w:lang w:val="en-US" w:eastAsia="zh-CN"/>
              </w:rPr>
            </w:pPr>
            <w:r>
              <w:rPr>
                <w:rFonts w:hint="eastAsia"/>
                <w:lang w:val="en-US" w:eastAsia="zh-CN"/>
              </w:rPr>
              <w:t>89.76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rPr>
                <w:rFonts w:hint="default" w:eastAsia="方正书宋_GBK"/>
                <w:lang w:val="en-US" w:eastAsia="zh-CN"/>
              </w:rPr>
            </w:pPr>
            <w:r>
              <w:rPr>
                <w:rFonts w:hint="eastAsia"/>
                <w:lang w:val="en-US" w:eastAsia="zh-CN"/>
              </w:rPr>
              <w:t>8.89</w:t>
            </w:r>
          </w:p>
        </w:tc>
        <w:tc>
          <w:tcPr>
            <w:tcW w:w="625" w:type="pct"/>
            <w:vAlign w:val="center"/>
          </w:tcPr>
          <w:p>
            <w:pPr>
              <w:pStyle w:val="15"/>
              <w:rPr>
                <w:rFonts w:hint="default" w:eastAsia="方正书宋_GBK"/>
                <w:lang w:val="en-US" w:eastAsia="zh-CN"/>
              </w:rPr>
            </w:pPr>
            <w:r>
              <w:rPr>
                <w:rFonts w:hint="eastAsia"/>
                <w:lang w:val="en-US" w:eastAsia="zh-CN"/>
              </w:rPr>
              <w:t>8.89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rPr>
                <w:rFonts w:hint="default" w:eastAsia="方正书宋_GBK"/>
                <w:lang w:val="en-US" w:eastAsia="zh-CN"/>
              </w:rPr>
            </w:pPr>
            <w:r>
              <w:rPr>
                <w:rFonts w:hint="eastAsia"/>
                <w:lang w:val="en-US" w:eastAsia="zh-CN"/>
              </w:rPr>
              <w:t>3.74</w:t>
            </w:r>
          </w:p>
        </w:tc>
        <w:tc>
          <w:tcPr>
            <w:tcW w:w="625" w:type="pct"/>
            <w:vAlign w:val="center"/>
          </w:tcPr>
          <w:p>
            <w:pPr>
              <w:pStyle w:val="15"/>
              <w:rPr>
                <w:rFonts w:hint="default" w:eastAsia="方正书宋_GBK"/>
                <w:lang w:val="en-US" w:eastAsia="zh-CN"/>
              </w:rPr>
            </w:pPr>
            <w:r>
              <w:rPr>
                <w:rFonts w:hint="eastAsia"/>
                <w:lang w:val="en-US" w:eastAsia="zh-CN"/>
              </w:rPr>
              <w:t>3.74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rPr>
                <w:rFonts w:hint="default" w:eastAsia="方正书宋_GBK"/>
                <w:lang w:val="en-US" w:eastAsia="zh-CN"/>
              </w:rPr>
            </w:pPr>
            <w:r>
              <w:rPr>
                <w:rFonts w:hint="eastAsia"/>
                <w:lang w:val="en-US" w:eastAsia="zh-CN"/>
              </w:rPr>
              <w:t>6.52</w:t>
            </w:r>
          </w:p>
        </w:tc>
        <w:tc>
          <w:tcPr>
            <w:tcW w:w="625" w:type="pct"/>
            <w:vAlign w:val="center"/>
          </w:tcPr>
          <w:p>
            <w:pPr>
              <w:pStyle w:val="15"/>
              <w:rPr>
                <w:rFonts w:hint="default" w:eastAsia="方正书宋_GBK"/>
                <w:lang w:val="en-US" w:eastAsia="zh-CN"/>
              </w:rPr>
            </w:pPr>
            <w:r>
              <w:rPr>
                <w:rFonts w:hint="eastAsia"/>
                <w:lang w:val="en-US" w:eastAsia="zh-CN"/>
              </w:rPr>
              <w:t>6.52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8"/>
            </w:pPr>
            <w:r>
              <w:t>本年收入合计</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8"/>
            </w:pPr>
            <w:r>
              <w:t>本年支出合计</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8"/>
            </w:pPr>
            <w:r>
              <w:t>收入总计</w:t>
            </w:r>
          </w:p>
        </w:tc>
        <w:tc>
          <w:tcPr>
            <w:tcW w:w="625" w:type="pct"/>
            <w:vAlign w:val="center"/>
          </w:tcPr>
          <w:p>
            <w:pPr>
              <w:pStyle w:val="19"/>
              <w:rPr>
                <w:rFonts w:hint="default" w:eastAsia="方正书宋_GBK"/>
                <w:lang w:val="en-US" w:eastAsia="zh-CN"/>
              </w:rPr>
            </w:pPr>
            <w:r>
              <w:rPr>
                <w:rFonts w:hint="eastAsia"/>
                <w:lang w:val="en-US" w:eastAsia="zh-CN"/>
              </w:rPr>
              <w:t>108.91</w:t>
            </w:r>
          </w:p>
        </w:tc>
        <w:tc>
          <w:tcPr>
            <w:tcW w:w="625" w:type="pct"/>
            <w:vAlign w:val="center"/>
          </w:tcPr>
          <w:p>
            <w:pPr>
              <w:pStyle w:val="18"/>
            </w:pPr>
            <w:r>
              <w:t>支出总计</w:t>
            </w:r>
          </w:p>
        </w:tc>
        <w:tc>
          <w:tcPr>
            <w:tcW w:w="625" w:type="pct"/>
            <w:vAlign w:val="center"/>
          </w:tcPr>
          <w:p>
            <w:pPr>
              <w:rPr>
                <w:rFonts w:hint="default" w:eastAsia="方正书宋_GBK"/>
                <w:lang w:val="en-US" w:eastAsia="zh-CN"/>
              </w:rPr>
            </w:pPr>
            <w:r>
              <w:rPr>
                <w:rFonts w:hint="eastAsia"/>
                <w:lang w:val="en-US" w:eastAsia="zh-CN"/>
              </w:rPr>
              <w:t>108.91</w:t>
            </w:r>
          </w:p>
        </w:tc>
        <w:tc>
          <w:tcPr>
            <w:tcW w:w="625" w:type="pct"/>
            <w:vAlign w:val="center"/>
          </w:tcPr>
          <w:p>
            <w:pPr>
              <w:rPr>
                <w:rFonts w:hint="default" w:eastAsia="方正书宋_GBK"/>
                <w:lang w:val="en-US" w:eastAsia="zh-CN"/>
              </w:rPr>
            </w:pPr>
            <w:r>
              <w:rPr>
                <w:rFonts w:hint="eastAsia"/>
                <w:lang w:val="en-US" w:eastAsia="zh-CN"/>
              </w:rPr>
              <w:t>108.91</w:t>
            </w:r>
          </w:p>
        </w:tc>
        <w:tc>
          <w:tcPr>
            <w:tcW w:w="625" w:type="pct"/>
            <w:vAlign w:val="center"/>
          </w:tcPr>
          <w:p>
            <w:pPr>
              <w:pStyle w:val="19"/>
            </w:pPr>
          </w:p>
        </w:tc>
        <w:tc>
          <w:tcPr>
            <w:tcW w:w="625" w:type="pct"/>
            <w:vAlign w:val="center"/>
          </w:tcPr>
          <w:p>
            <w:pPr>
              <w:pStyle w:val="19"/>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功能分类科目</w:t>
            </w:r>
          </w:p>
        </w:tc>
        <w:tc>
          <w:tcPr>
            <w:tcW w:w="833" w:type="pct"/>
          </w:tcP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rPr>
                <w:rFonts w:hint="default" w:eastAsia="方正书宋_GBK"/>
                <w:lang w:val="en-US" w:eastAsia="zh-CN"/>
              </w:rPr>
            </w:pPr>
            <w:r>
              <w:rPr>
                <w:rFonts w:hint="eastAsia"/>
                <w:lang w:val="en-US" w:eastAsia="zh-CN"/>
              </w:rPr>
              <w:t>201</w:t>
            </w:r>
          </w:p>
        </w:tc>
        <w:tc>
          <w:tcPr>
            <w:tcW w:w="833" w:type="pct"/>
            <w:vAlign w:val="center"/>
          </w:tcPr>
          <w:p>
            <w:pPr>
              <w:pStyle w:val="16"/>
            </w:pPr>
            <w:r>
              <w:t>一般公共预算拨款收入</w:t>
            </w:r>
          </w:p>
        </w:tc>
        <w:tc>
          <w:tcPr>
            <w:tcW w:w="833" w:type="pct"/>
            <w:vAlign w:val="center"/>
          </w:tcPr>
          <w:p>
            <w:pPr>
              <w:pStyle w:val="15"/>
              <w:rPr>
                <w:rFonts w:hint="default" w:eastAsia="方正书宋_GBK"/>
                <w:lang w:val="en-US" w:eastAsia="zh-CN"/>
              </w:rPr>
            </w:pPr>
            <w:r>
              <w:rPr>
                <w:rFonts w:hint="eastAsia"/>
                <w:lang w:val="en-US" w:eastAsia="zh-CN"/>
              </w:rPr>
              <w:t>108.91</w:t>
            </w:r>
          </w:p>
        </w:tc>
        <w:tc>
          <w:tcPr>
            <w:tcW w:w="833" w:type="pct"/>
            <w:vAlign w:val="center"/>
          </w:tcPr>
          <w:p>
            <w:pPr>
              <w:pStyle w:val="15"/>
              <w:rPr>
                <w:rFonts w:hint="default" w:eastAsia="方正书宋_GBK"/>
                <w:lang w:val="en-US" w:eastAsia="zh-CN"/>
              </w:rPr>
            </w:pPr>
            <w:r>
              <w:rPr>
                <w:rFonts w:hint="eastAsia"/>
                <w:lang w:val="en-US" w:eastAsia="zh-CN"/>
              </w:rPr>
              <w:t>59.36</w:t>
            </w:r>
          </w:p>
        </w:tc>
        <w:tc>
          <w:tcPr>
            <w:tcW w:w="833" w:type="pct"/>
            <w:vAlign w:val="center"/>
          </w:tcPr>
          <w:p>
            <w:pPr>
              <w:pStyle w:val="15"/>
              <w:rPr>
                <w:rFonts w:hint="default" w:eastAsia="方正书宋_GBK"/>
                <w:lang w:val="en-US" w:eastAsia="zh-CN"/>
              </w:rPr>
            </w:pPr>
            <w:r>
              <w:rPr>
                <w:rFonts w:hint="eastAsia"/>
                <w:lang w:val="en-US" w:eastAsia="zh-CN"/>
              </w:rPr>
              <w:t>49.55</w:t>
            </w:r>
          </w:p>
        </w:tc>
      </w:tr>
    </w:tbl>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支出</w:t>
            </w:r>
            <w:r>
              <w:rPr>
                <w:rFonts w:hint="eastAsia"/>
                <w:lang w:eastAsia="zh-CN"/>
              </w:rPr>
              <w:t>单位</w:t>
            </w:r>
            <w:r>
              <w:t>经济分类科目</w:t>
            </w:r>
          </w:p>
        </w:tc>
        <w:tc>
          <w:tcPr>
            <w:tcW w:w="833" w:type="pct"/>
          </w:tcPr>
          <w:p/>
        </w:tc>
        <w:tc>
          <w:tcPr>
            <w:tcW w:w="833" w:type="pct"/>
            <w:vAlign w:val="center"/>
          </w:tcPr>
          <w:p>
            <w:pPr>
              <w:pStyle w:val="14"/>
            </w:pPr>
            <w:r>
              <w:t>一般公共预算基本支出</w:t>
            </w:r>
          </w:p>
        </w:tc>
        <w:tc>
          <w:tcPr>
            <w:tcW w:w="833" w:type="pct"/>
          </w:tcPr>
          <w:p/>
        </w:tc>
        <w:tc>
          <w:tcPr>
            <w:tcW w:w="833"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rPr>
                <w:rFonts w:hint="default" w:eastAsia="方正书宋_GBK"/>
                <w:lang w:val="en-US" w:eastAsia="zh-CN"/>
              </w:rPr>
            </w:pPr>
            <w:r>
              <w:rPr>
                <w:rFonts w:hint="eastAsia"/>
                <w:lang w:val="en-US" w:eastAsia="zh-CN"/>
              </w:rPr>
              <w:t>2012901</w:t>
            </w:r>
          </w:p>
        </w:tc>
        <w:tc>
          <w:tcPr>
            <w:tcW w:w="833" w:type="pct"/>
            <w:vAlign w:val="center"/>
          </w:tcPr>
          <w:p>
            <w:pPr>
              <w:pStyle w:val="16"/>
            </w:pPr>
            <w:r>
              <w:t>一般公共预算拨款收入</w:t>
            </w:r>
          </w:p>
        </w:tc>
        <w:tc>
          <w:tcPr>
            <w:tcW w:w="833" w:type="pct"/>
            <w:vAlign w:val="center"/>
          </w:tcPr>
          <w:p>
            <w:pPr>
              <w:pStyle w:val="15"/>
              <w:rPr>
                <w:rFonts w:hint="default" w:eastAsia="方正书宋_GBK"/>
                <w:lang w:val="en-US" w:eastAsia="zh-CN"/>
              </w:rPr>
            </w:pPr>
            <w:r>
              <w:rPr>
                <w:rFonts w:hint="eastAsia"/>
                <w:lang w:val="en-US" w:eastAsia="zh-CN"/>
              </w:rPr>
              <w:t>86.24</w:t>
            </w:r>
          </w:p>
        </w:tc>
        <w:tc>
          <w:tcPr>
            <w:tcW w:w="833" w:type="pct"/>
            <w:vAlign w:val="center"/>
          </w:tcPr>
          <w:p>
            <w:pPr>
              <w:pStyle w:val="15"/>
              <w:rPr>
                <w:rFonts w:hint="default" w:eastAsia="方正书宋_GBK"/>
                <w:lang w:val="en-US" w:eastAsia="zh-CN"/>
              </w:rPr>
            </w:pPr>
            <w:r>
              <w:rPr>
                <w:rFonts w:hint="eastAsia"/>
                <w:lang w:val="en-US" w:eastAsia="zh-CN"/>
              </w:rPr>
              <w:t>73.60</w:t>
            </w:r>
          </w:p>
        </w:tc>
        <w:tc>
          <w:tcPr>
            <w:tcW w:w="833" w:type="pct"/>
            <w:vAlign w:val="center"/>
          </w:tcPr>
          <w:p>
            <w:pPr>
              <w:pStyle w:val="15"/>
              <w:rPr>
                <w:rFonts w:hint="default" w:eastAsia="方正书宋_GBK"/>
                <w:lang w:val="en-US" w:eastAsia="zh-CN"/>
              </w:rPr>
            </w:pPr>
            <w:r>
              <w:rPr>
                <w:rFonts w:hint="eastAsia"/>
                <w:lang w:val="en-US" w:eastAsia="zh-CN"/>
              </w:rPr>
              <w:t>12.64</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功能分类科目</w:t>
            </w:r>
          </w:p>
        </w:tc>
        <w:tc>
          <w:tcPr>
            <w:tcW w:w="833" w:type="pct"/>
          </w:tcP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rPr>
                <w:rFonts w:hint="default" w:eastAsia="方正书宋_GBK"/>
                <w:lang w:val="en-US" w:eastAsia="zh-CN"/>
              </w:rPr>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Align w:val="center"/>
          </w:tcPr>
          <w:p>
            <w:pPr>
              <w:pStyle w:val="14"/>
            </w:pPr>
            <w:r>
              <w:t>功能分类科目</w:t>
            </w:r>
          </w:p>
        </w:tc>
        <w:tc>
          <w:tcPr>
            <w:tcW w:w="833" w:type="pct"/>
          </w:tcP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137中共沙河市委网络安全和信息化委员会办公室</w:t>
            </w: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tcP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833" w:type="pct"/>
            <w:tcBorders>
              <w:top w:val="single" w:color="FFFFFF" w:sz="6" w:space="0"/>
              <w:left w:val="single" w:color="FFFFFF" w:sz="6" w:space="0"/>
              <w:right w:val="single" w:color="FFFFFF" w:sz="6" w:space="0"/>
            </w:tcBorders>
            <w:vAlign w:val="center"/>
          </w:tcPr>
          <w:p>
            <w:pPr>
              <w:pStyle w:val="11"/>
            </w:pPr>
            <w:r>
              <w:t>单位：万元</w:t>
            </w:r>
          </w:p>
        </w:tc>
        <w:tc>
          <w:tcPr>
            <w:tcW w:w="833" w:type="pct"/>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833" w:type="pct"/>
            <w:vAlign w:val="center"/>
          </w:tcPr>
          <w:p>
            <w:pPr>
              <w:pStyle w:val="14"/>
            </w:pPr>
            <w:r>
              <w:t>资 金 性 质</w:t>
            </w:r>
          </w:p>
        </w:tc>
        <w:tc>
          <w:tcPr>
            <w:tcW w:w="833" w:type="pct"/>
          </w:tcPr>
          <w:p/>
        </w:tc>
        <w:tc>
          <w:tcPr>
            <w:tcW w:w="833" w:type="pct"/>
          </w:tcPr>
          <w:p/>
        </w:tc>
        <w:tc>
          <w:tcPr>
            <w:tcW w:w="833" w:type="pc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门预算信息公开情况说明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中共沙河市委网络安全和信息化委员会办公室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2022年单位预算信息公开情况说明</w:t>
      </w:r>
    </w:p>
    <w:p>
      <w:pPr>
        <w:keepNext w:val="0"/>
        <w:keepLines w:val="0"/>
        <w:pageBreakBefore w:val="0"/>
        <w:widowControl w:val="0"/>
        <w:tabs>
          <w:tab w:val="left" w:pos="11490"/>
        </w:tabs>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按照《预算法》、《地方预决算公开操作规程》和《河北省省级预算公开办法》规定，现将中共沙河市委</w:t>
      </w:r>
      <w:r>
        <w:rPr>
          <w:rFonts w:hint="eastAsia" w:ascii="仿宋_GB2312" w:hAnsi="仿宋_GB2312" w:eastAsia="仿宋_GB2312" w:cs="仿宋_GB2312"/>
          <w:sz w:val="32"/>
          <w:szCs w:val="32"/>
          <w:lang w:eastAsia="zh-CN"/>
        </w:rPr>
        <w:t>网络安全和信息化</w:t>
      </w:r>
      <w:r>
        <w:rPr>
          <w:rFonts w:hint="eastAsia" w:ascii="仿宋_GB2312" w:hAnsi="仿宋_GB2312" w:eastAsia="仿宋_GB2312" w:cs="仿宋_GB2312"/>
          <w:sz w:val="32"/>
          <w:szCs w:val="32"/>
        </w:rPr>
        <w:t>委员会办公室202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预算公开如下：</w:t>
      </w:r>
    </w:p>
    <w:p>
      <w:pPr>
        <w:keepNext w:val="0"/>
        <w:keepLines w:val="0"/>
        <w:pageBreakBefore w:val="0"/>
        <w:widowControl w:val="0"/>
        <w:numPr>
          <w:ilvl w:val="0"/>
          <w:numId w:val="0"/>
        </w:numPr>
        <w:kinsoku/>
        <w:wordWrap/>
        <w:overflowPunct/>
        <w:topLinePunct w:val="0"/>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一、单位职责及预算单位构成</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单位职责：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一）负责处理市委网络安全和信息化委员会日常事务工作。协调督促有关方面落实委员会的决定事项、工作部署和要求，组织开展涉及我市政治、经济、文化、社会、生态及军事等各个领域的网络安全和信息化重大问题研究，向委员会提出工作建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组织研究起草我市网络安全和信息化发展战略、宏观规划和相关政策。统筹推进我市网络安全和信息化法治、标准建设，根据职责权限负责相关法规、规章等的实施和监督检查，根据职责权限推动落实网络安全和信息化领域国家标准并监督实施；依法完善与信息化相关的统计调查制度。</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（三）统筹协调全市网络安全保障体系和可信体系建设。牵头协调有关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制定相关行业网络安全规划及保障评价指标体系，协调信息安全保护工作；指导推进全市党政军</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重点行业网络安全保障和信息化工作；协调推动网络安全和信息化核心技术、关键设备等方面开展科技攻关，统筹推进网络安全和信息化军民融合深度发展；推进网络强市建设，协调推动全市公共服务和社会治理信息化；指导全市网络安全信息共享和通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（四）督促落实我市涉及政治、经济、文化、社会、生态及军事等各个领域的网络安全和信息化重大事项；负责协调处理网络安全和信息化重大突发事件与有关应急工作。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处置和封堵网上有害信息，依照相关法律和规定查处违法违规行为和网站。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（六）负责指导协调全市网络舆情工作。收集、分析、研判、报送和处置网络舆情信息，依法规范舆情服务市场。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（七）推动全市网络阵地建设和重点新闻网站规划建设。指导协调网络游戏、网络视听、网络出版等相关业务，推动移动互联网发展，会同有关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推动传统媒体与新兴媒体融合发展；负责全市网站转载新闻稿源的管理。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（八）推动全市网络社会工作和网络文化、网络文明建设；发展、联系、服务网络社会组织，指导互联网行业自律，推进网站党建工作。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落实国家互联网信息服务资本准入和信息网络行业安全审查的有关政策。负责全市网络新闻业务和论坛、博客、搜索引擎具有新闻舆论及社会动员功能业务的日常监管，并配合省、邢台市做好相关审批工作；指导全市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督促电信运营企业、接入服务企业、域名注册管理和服务机构做好域名注册、互联网地址（</w:t>
      </w:r>
      <w:r>
        <w:rPr>
          <w:rFonts w:ascii="仿宋_GB2312" w:hAnsi="仿宋_GB2312" w:eastAsia="仿宋_GB2312" w:cs="仿宋_GB2312"/>
          <w:sz w:val="32"/>
          <w:szCs w:val="32"/>
        </w:rPr>
        <w:t>1P</w:t>
      </w:r>
      <w:r>
        <w:rPr>
          <w:rFonts w:hint="eastAsia" w:ascii="仿宋_GB2312" w:hAnsi="仿宋_GB2312" w:eastAsia="仿宋_GB2312" w:cs="仿宋_GB2312"/>
          <w:sz w:val="32"/>
          <w:szCs w:val="32"/>
        </w:rPr>
        <w:t>地址）分配、网站登记备案、接入以及网络行为主体身份信息核对等基础管理工作；指导协调有关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推进新技术新应用安全评估，统筹协调全市移动互联网管理。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（十一）规划指导市内机构开展金融信息服务业务。组织开展全市金融信息服务市场监管；协调金融监管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建立全市网络金融信息发布、传播监管制度及工作机制。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（十二）组织拟订网络安全和信息化干部人才队伍发展规划，组织开展网信系统干部教育培训和人才队伍建设，规划指导全市互联网新闻信息服务从业人员教育培训和考评工作，组织开展网络媒介素养教育。</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（十三）组织开展相关领域国内国际交流与合作。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（十四）指导、检查、推动各乡镇办事处和有关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网络安全和信息化工作。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pStyle w:val="3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 xml:space="preserve">     </w:t>
      </w:r>
      <w:r>
        <w:rPr>
          <w:rFonts w:hint="eastAsia" w:ascii="仿宋" w:hAnsi="仿宋" w:eastAsia="仿宋" w:cs="Times New Roman"/>
          <w:b/>
          <w:sz w:val="32"/>
          <w:szCs w:val="32"/>
        </w:rPr>
        <w:t>机构设置：</w:t>
      </w:r>
    </w:p>
    <w:tbl>
      <w:tblPr>
        <w:tblStyle w:val="8"/>
        <w:tblpPr w:leftFromText="180" w:rightFromText="180" w:vertAnchor="text" w:horzAnchor="page" w:tblpX="1929" w:tblpY="587"/>
        <w:tblOverlap w:val="never"/>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49"/>
        <w:gridCol w:w="1715"/>
        <w:gridCol w:w="1896"/>
        <w:gridCol w:w="2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304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单位名称</w:t>
            </w:r>
          </w:p>
        </w:tc>
        <w:tc>
          <w:tcPr>
            <w:tcW w:w="171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单位性质</w:t>
            </w:r>
          </w:p>
        </w:tc>
        <w:tc>
          <w:tcPr>
            <w:tcW w:w="1896"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单位规格</w:t>
            </w:r>
          </w:p>
        </w:tc>
        <w:tc>
          <w:tcPr>
            <w:tcW w:w="2698"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7" w:hRule="atLeast"/>
        </w:trPr>
        <w:tc>
          <w:tcPr>
            <w:tcW w:w="3049"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0"/>
                <w:szCs w:val="30"/>
                <w:lang w:eastAsia="zh-CN"/>
              </w:rPr>
            </w:pPr>
            <w:r>
              <w:rPr>
                <w:rFonts w:hint="eastAsia" w:ascii="仿宋_GB2312" w:hAnsi="宋体" w:eastAsia="仿宋_GB2312" w:cs="仿宋_GB2312"/>
                <w:kern w:val="0"/>
                <w:sz w:val="30"/>
                <w:szCs w:val="30"/>
              </w:rPr>
              <w:t>中共沙河市委</w:t>
            </w:r>
            <w:r>
              <w:rPr>
                <w:rFonts w:hint="eastAsia" w:ascii="仿宋_GB2312" w:hAnsi="宋体" w:eastAsia="仿宋_GB2312" w:cs="仿宋_GB2312"/>
                <w:kern w:val="0"/>
                <w:sz w:val="30"/>
                <w:szCs w:val="30"/>
                <w:lang w:eastAsia="zh-CN"/>
              </w:rPr>
              <w:t>网络安全和信息化委员会办公室</w:t>
            </w:r>
          </w:p>
        </w:tc>
        <w:tc>
          <w:tcPr>
            <w:tcW w:w="171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行政</w:t>
            </w:r>
          </w:p>
        </w:tc>
        <w:tc>
          <w:tcPr>
            <w:tcW w:w="1896"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正科级</w:t>
            </w:r>
          </w:p>
        </w:tc>
        <w:tc>
          <w:tcPr>
            <w:tcW w:w="2698"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0"/>
                <w:szCs w:val="30"/>
                <w:lang w:eastAsia="zh-CN"/>
              </w:rPr>
            </w:pPr>
            <w:r>
              <w:rPr>
                <w:rFonts w:hint="eastAsia" w:ascii="仿宋_GB2312" w:hAnsi="仿宋_GB2312" w:eastAsia="仿宋_GB2312"/>
              </w:rPr>
              <w:t>财政性资金基本保证</w:t>
            </w:r>
          </w:p>
        </w:tc>
      </w:tr>
    </w:tbl>
    <w:p>
      <w:pPr>
        <w:rPr>
          <w:rFonts w:hint="eastAsia" w:ascii="仿宋" w:hAnsi="仿宋" w:eastAsia="仿宋" w:cs="Times New Roman"/>
          <w:b/>
          <w:sz w:val="32"/>
          <w:szCs w:val="32"/>
        </w:rPr>
      </w:pPr>
    </w:p>
    <w:p>
      <w:pPr>
        <w:widowControl w:val="0"/>
        <w:wordWrap/>
        <w:adjustRightInd/>
        <w:snapToGrid/>
        <w:spacing w:line="610" w:lineRule="exact"/>
        <w:ind w:left="0" w:leftChars="0" w:right="0" w:firstLine="640"/>
        <w:jc w:val="both"/>
        <w:textAlignment w:val="auto"/>
        <w:outlineLvl w:val="9"/>
        <w:rPr>
          <w:rFonts w:hint="eastAsia" w:ascii="仿宋_GB2312" w:eastAsia="仿宋_GB2312"/>
          <w:sz w:val="32"/>
          <w:szCs w:val="32"/>
        </w:rPr>
      </w:pPr>
    </w:p>
    <w:p>
      <w:pPr>
        <w:widowControl w:val="0"/>
        <w:numPr>
          <w:ilvl w:val="0"/>
          <w:numId w:val="0"/>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p>
    <w:p>
      <w:pPr>
        <w:widowControl w:val="0"/>
        <w:numPr>
          <w:ilvl w:val="0"/>
          <w:numId w:val="0"/>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p>
    <w:p>
      <w:pPr>
        <w:widowControl w:val="0"/>
        <w:numPr>
          <w:ilvl w:val="0"/>
          <w:numId w:val="0"/>
        </w:numPr>
        <w:wordWrap/>
        <w:adjustRightInd/>
        <w:snapToGrid/>
        <w:spacing w:line="610" w:lineRule="exact"/>
        <w:ind w:left="0" w:leftChars="0" w:right="0" w:firstLine="64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adjustRightInd/>
        <w:snapToGrid/>
        <w:spacing w:line="60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二、单位预算安排的总体情况</w:t>
      </w:r>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按照预算管理有关规定，目前我办单位预算的编制实行综合预算制度，即全部收入和支出都反映在预算中。</w:t>
      </w:r>
    </w:p>
    <w:p>
      <w:pPr>
        <w:keepNext w:val="0"/>
        <w:keepLines w:val="0"/>
        <w:pageBreakBefore w:val="0"/>
        <w:widowControl w:val="0"/>
        <w:numPr>
          <w:ilvl w:val="0"/>
          <w:numId w:val="1"/>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反映本单位当年全部收入。2022年预算收入108.91万元。</w:t>
      </w:r>
      <w:r>
        <w:rPr>
          <w:rFonts w:hint="eastAsia" w:ascii="仿宋_GB2312" w:hAnsi="仿宋_GB2312" w:eastAsia="仿宋_GB2312" w:cs="仿宋_GB2312"/>
          <w:sz w:val="32"/>
          <w:szCs w:val="32"/>
        </w:rPr>
        <w:t>其中：一般公共预算收入</w:t>
      </w:r>
      <w:r>
        <w:rPr>
          <w:rFonts w:hint="eastAsia" w:ascii="仿宋_GB2312" w:hAnsi="仿宋_GB2312" w:eastAsia="仿宋_GB2312" w:cs="仿宋_GB2312"/>
          <w:sz w:val="32"/>
          <w:szCs w:val="32"/>
          <w:lang w:val="en-US" w:eastAsia="zh-CN"/>
        </w:rPr>
        <w:t>108.91</w:t>
      </w:r>
      <w:r>
        <w:rPr>
          <w:rFonts w:hint="eastAsia" w:ascii="仿宋_GB2312" w:hAnsi="仿宋_GB2312" w:eastAsia="仿宋_GB2312" w:cs="仿宋_GB2312"/>
          <w:sz w:val="32"/>
          <w:szCs w:val="32"/>
        </w:rPr>
        <w:t>万元，基金预算收入0万元，财政专户核拨收入0万元，其他来源收入0万元。</w:t>
      </w:r>
    </w:p>
    <w:p>
      <w:pPr>
        <w:keepNext w:val="0"/>
        <w:keepLines w:val="0"/>
        <w:pageBreakBefore w:val="0"/>
        <w:widowControl w:val="0"/>
        <w:numPr>
          <w:ilvl w:val="0"/>
          <w:numId w:val="1"/>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支出说明</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中共沙河市委网络安全和信息化委员会办公室年度单位预算中支出预算的总体情况。2022年支出预算108.91万元，其中基本支出59.36万元，包括人员经费和日常公用经费；项目支出49.55万元，主要是网络宣传经费、网络安全和信息化工作经费。</w:t>
      </w:r>
    </w:p>
    <w:p>
      <w:pPr>
        <w:keepNext w:val="0"/>
        <w:keepLines w:val="0"/>
        <w:pageBreakBefore w:val="0"/>
        <w:widowControl w:val="0"/>
        <w:numPr>
          <w:ilvl w:val="0"/>
          <w:numId w:val="1"/>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比上年增减情况</w:t>
      </w:r>
    </w:p>
    <w:p>
      <w:pPr>
        <w:keepNext w:val="0"/>
        <w:keepLines w:val="0"/>
        <w:pageBreakBefore w:val="0"/>
        <w:widowControl w:val="0"/>
        <w:kinsoku/>
        <w:wordWrap/>
        <w:overflowPunct/>
        <w:topLinePunct w:val="0"/>
        <w:autoSpaceDE w:val="0"/>
        <w:autoSpaceDN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olor w:val="000000"/>
          <w:sz w:val="32"/>
        </w:rPr>
        <w:t>年预算收支安排</w:t>
      </w:r>
      <w:r>
        <w:rPr>
          <w:rFonts w:hint="eastAsia" w:ascii="仿宋_GB2312" w:hAnsi="仿宋_GB2312" w:eastAsia="仿宋_GB2312"/>
          <w:color w:val="000000"/>
          <w:sz w:val="32"/>
          <w:lang w:val="en-US" w:eastAsia="zh-CN"/>
        </w:rPr>
        <w:t>108.91</w:t>
      </w:r>
      <w:r>
        <w:rPr>
          <w:rFonts w:hint="eastAsia" w:ascii="仿宋_GB2312" w:hAnsi="仿宋_GB2312" w:eastAsia="仿宋_GB2312"/>
          <w:color w:val="000000"/>
          <w:sz w:val="32"/>
        </w:rPr>
        <w:t>万元，较</w:t>
      </w:r>
      <w:r>
        <w:rPr>
          <w:rFonts w:hint="eastAsia" w:ascii="仿宋_GB2312" w:hAnsi="仿宋_GB2312" w:eastAsia="仿宋_GB2312"/>
          <w:color w:val="000000"/>
          <w:sz w:val="32"/>
          <w:lang w:val="en-US" w:eastAsia="zh-CN"/>
        </w:rPr>
        <w:t>2021</w:t>
      </w:r>
      <w:r>
        <w:rPr>
          <w:rFonts w:hint="eastAsia" w:ascii="仿宋_GB2312" w:hAnsi="仿宋_GB2312" w:eastAsia="仿宋_GB2312"/>
          <w:color w:val="000000"/>
          <w:sz w:val="32"/>
        </w:rPr>
        <w:t>年预算</w:t>
      </w:r>
      <w:r>
        <w:rPr>
          <w:rFonts w:hint="eastAsia" w:ascii="仿宋_GB2312" w:hAnsi="仿宋_GB2312" w:eastAsia="仿宋_GB2312"/>
          <w:color w:val="000000"/>
          <w:sz w:val="32"/>
          <w:lang w:eastAsia="zh-CN"/>
        </w:rPr>
        <w:t>增加</w:t>
      </w:r>
      <w:r>
        <w:rPr>
          <w:rFonts w:hint="eastAsia" w:ascii="仿宋_GB2312" w:hAnsi="仿宋_GB2312" w:eastAsia="仿宋_GB2312"/>
          <w:color w:val="000000"/>
          <w:sz w:val="32"/>
          <w:lang w:val="en-US" w:eastAsia="zh-CN"/>
        </w:rPr>
        <w:t>34.74</w:t>
      </w:r>
      <w:r>
        <w:rPr>
          <w:rFonts w:hint="eastAsia" w:ascii="仿宋_GB2312" w:hAnsi="仿宋_GB2312" w:eastAsia="仿宋_GB2312"/>
          <w:color w:val="000000"/>
          <w:sz w:val="32"/>
        </w:rPr>
        <w:t>万元，</w:t>
      </w:r>
      <w:r>
        <w:rPr>
          <w:rFonts w:hint="eastAsia" w:ascii="仿宋_GB2312" w:hAnsi="仿宋_GB2312" w:eastAsia="仿宋_GB2312"/>
          <w:sz w:val="32"/>
          <w:szCs w:val="32"/>
        </w:rPr>
        <w:t>主要为增加人员经费支出</w:t>
      </w:r>
      <w:r>
        <w:rPr>
          <w:rFonts w:hint="eastAsia" w:ascii="仿宋_GB2312" w:hAnsi="仿宋_GB2312" w:eastAsia="仿宋_GB2312"/>
          <w:sz w:val="32"/>
          <w:szCs w:val="32"/>
          <w:lang w:eastAsia="zh-CN"/>
        </w:rPr>
        <w:t>和</w:t>
      </w:r>
      <w:r>
        <w:rPr>
          <w:rFonts w:hint="eastAsia" w:ascii="仿宋_GB2312" w:hAnsi="仿宋_GB2312" w:eastAsia="仿宋_GB2312"/>
          <w:sz w:val="32"/>
          <w:szCs w:val="32"/>
          <w:lang w:val="en-US" w:eastAsia="zh-CN"/>
        </w:rPr>
        <w:t>正常公用经费支出。</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机关运行经费安排情况 </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机关运行经费共计安排4.91万元。</w:t>
      </w:r>
      <w:r>
        <w:rPr>
          <w:rFonts w:hint="eastAsia" w:ascii="仿宋_GB2312" w:hAnsi="仿宋_GB2312" w:eastAsia="仿宋_GB2312"/>
          <w:sz w:val="32"/>
          <w:szCs w:val="32"/>
        </w:rPr>
        <w:t>主要用于机关办公等日常运行支出。</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财政拨款“三公”经费预算安排情况及增减变化原因</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2022年，我单位“三公”经费预算安排0万元。</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年相比持平。</w:t>
      </w:r>
    </w:p>
    <w:p>
      <w:pPr>
        <w:keepNext w:val="0"/>
        <w:keepLines w:val="0"/>
        <w:pageBreakBefore w:val="0"/>
        <w:widowControl w:val="0"/>
        <w:numPr>
          <w:ilvl w:val="0"/>
          <w:numId w:val="2"/>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绩效预算信息</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sz w:val="32"/>
          <w:szCs w:val="32"/>
          <w:lang w:val="en-US" w:eastAsia="zh-CN"/>
        </w:rPr>
      </w:pPr>
      <w:r>
        <w:rPr>
          <w:rFonts w:hint="eastAsia" w:ascii="仿宋_GB2312" w:hAnsi="仿宋" w:eastAsia="仿宋_GB2312"/>
          <w:b/>
          <w:sz w:val="32"/>
          <w:szCs w:val="32"/>
        </w:rPr>
        <w:t>第一部分</w:t>
      </w:r>
      <w:r>
        <w:rPr>
          <w:rFonts w:hint="eastAsia" w:ascii="仿宋_GB2312" w:hAnsi="仿宋" w:eastAsia="仿宋_GB2312"/>
          <w:b/>
          <w:sz w:val="32"/>
          <w:szCs w:val="32"/>
          <w:lang w:eastAsia="zh-CN"/>
        </w:rPr>
        <w:t>单位</w:t>
      </w:r>
      <w:r>
        <w:rPr>
          <w:rFonts w:hint="eastAsia" w:ascii="仿宋_GB2312" w:hAnsi="仿宋" w:eastAsia="仿宋_GB2312"/>
          <w:b/>
          <w:sz w:val="32"/>
          <w:szCs w:val="32"/>
        </w:rPr>
        <w:t>整体绩效目标</w:t>
      </w:r>
    </w:p>
    <w:p>
      <w:pPr>
        <w:keepNext w:val="0"/>
        <w:keepLines w:val="0"/>
        <w:pageBreakBefore w:val="0"/>
        <w:widowControl w:val="0"/>
        <w:numPr>
          <w:ilvl w:val="0"/>
          <w:numId w:val="0"/>
        </w:numPr>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一、总体绩效目标：</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习近平总书记在全国宣传思想工作会议上的讲话为指导，认真学习贯彻省、邢台市宣传思想工作会议，紧紧围绕市委、市政府中心工作和重点工作，大力推进网络宣传工作，不断加强网络信息管理，立足工作实际，突出思想引领，创新方法举措，积极开展了一系列工作，牢牢把握网上舆论主动权，利用多种渠道宣传沙河。切实提升网络安全防护体系。持续开展政务平台，上云系统和重点单位网络安全常态化和专项检查检测；积极办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国家网络安全宣传周活动，开展网络安全“五进”宣传活动，强化主体责任，健全网络安全机制，明确各涉网用网单位工作职责，提升网络安全应急处置水平。持续深化网络综合治理体系，深入开展“净网”专项行动，加强网络管理执法，加大对属地自媒体违法违规行为的处罚力度，加强互联网新闻信息服务从业人员管理，建立从业人信息库，召开专题培训，加大网络辟谣工作力度，健全网络辟谣联动机制，及时有效处置网络谣言，持续开展“网络辟谣”“利民护企”等“五进”宣传活动。</w:t>
      </w:r>
    </w:p>
    <w:p>
      <w:pPr>
        <w:pStyle w:val="3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黑体"/>
          <w:kern w:val="2"/>
          <w:sz w:val="32"/>
          <w:szCs w:val="32"/>
          <w:lang w:val="en-US" w:eastAsia="zh-CN" w:bidi="ar-SA"/>
        </w:rPr>
      </w:pPr>
      <w:bookmarkStart w:id="9" w:name="_Toc67332037"/>
      <w:r>
        <w:rPr>
          <w:rFonts w:hint="eastAsia" w:ascii="仿宋_GB2312" w:eastAsia="仿宋_GB2312"/>
          <w:b/>
          <w:sz w:val="32"/>
        </w:rPr>
        <w:t>二、分项绩效目标</w:t>
      </w:r>
      <w:bookmarkEnd w:id="9"/>
    </w:p>
    <w:p>
      <w:pPr>
        <w:keepNext w:val="0"/>
        <w:keepLines w:val="0"/>
        <w:pageBreakBefore w:val="0"/>
        <w:widowControl w:val="0"/>
        <w:kinsoku/>
        <w:wordWrap/>
        <w:overflowPunct/>
        <w:topLinePunct w:val="0"/>
        <w:bidi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黑体"/>
          <w:kern w:val="2"/>
          <w:sz w:val="32"/>
          <w:szCs w:val="32"/>
          <w:lang w:val="en-US" w:eastAsia="zh-CN" w:bidi="ar-SA"/>
        </w:rPr>
        <w:t xml:space="preserve"> </w:t>
      </w:r>
      <w:r>
        <w:rPr>
          <w:rFonts w:hint="eastAsia" w:ascii="仿宋_GB2312" w:hAnsi="仿宋_GB2312" w:eastAsia="仿宋_GB2312" w:cs="仿宋_GB2312"/>
          <w:b w:val="0"/>
          <w:bCs w:val="0"/>
          <w:sz w:val="32"/>
          <w:szCs w:val="32"/>
          <w:lang w:val="en-US" w:eastAsia="zh-CN"/>
        </w:rPr>
        <w:t>一、持续做好网上正面宣传。一是对外宣传，继续加强与省、中央级重要网络媒体联系合作，及时将沙河经济社会发展亮点工作宣传出去，提升对外影响力；二是属地内宣传，加强政务新媒体、社会自媒体管理，做到统一发声，及时发布我市正能量信息，浓厚氛围；三是做好微信群组管理，充分利用微信群组快速传播的作用，持续开展</w:t>
      </w:r>
      <w:r>
        <w:rPr>
          <w:rFonts w:hint="eastAsia" w:ascii="仿宋_GB2312" w:hAnsi="仿宋_GB2312" w:eastAsia="仿宋_GB2312" w:cs="仿宋_GB2312"/>
          <w:b w:val="0"/>
          <w:bCs w:val="0"/>
          <w:kern w:val="0"/>
          <w:sz w:val="32"/>
          <w:szCs w:val="32"/>
        </w:rPr>
        <w:t>习近平</w:t>
      </w:r>
      <w:r>
        <w:rPr>
          <w:rFonts w:hint="eastAsia" w:ascii="仿宋_GB2312" w:hAnsi="仿宋_GB2312" w:eastAsia="仿宋_GB2312" w:cs="仿宋_GB2312"/>
          <w:b w:val="0"/>
          <w:bCs w:val="0"/>
          <w:kern w:val="0"/>
          <w:sz w:val="32"/>
          <w:szCs w:val="32"/>
          <w:lang w:eastAsia="zh-CN"/>
        </w:rPr>
        <w:t>重要思想、上级政策解读、疫情防控知识、党员干部应知应会等</w:t>
      </w:r>
      <w:r>
        <w:rPr>
          <w:rFonts w:hint="eastAsia" w:ascii="仿宋_GB2312" w:hAnsi="仿宋_GB2312" w:eastAsia="仿宋_GB2312" w:cs="仿宋_GB2312"/>
          <w:b w:val="0"/>
          <w:bCs w:val="0"/>
          <w:kern w:val="0"/>
          <w:sz w:val="32"/>
          <w:szCs w:val="32"/>
        </w:rPr>
        <w:t>网上宣传</w:t>
      </w:r>
      <w:r>
        <w:rPr>
          <w:rFonts w:hint="eastAsia" w:ascii="仿宋_GB2312" w:hAnsi="仿宋_GB2312" w:eastAsia="仿宋_GB2312" w:cs="仿宋_GB2312"/>
          <w:b w:val="0"/>
          <w:bCs w:val="0"/>
          <w:kern w:val="0"/>
          <w:sz w:val="32"/>
          <w:szCs w:val="32"/>
          <w:lang w:eastAsia="zh-CN"/>
        </w:rPr>
        <w:t>活动，</w:t>
      </w:r>
      <w:r>
        <w:rPr>
          <w:rFonts w:hint="eastAsia" w:ascii="仿宋_GB2312" w:hAnsi="仿宋_GB2312" w:eastAsia="仿宋_GB2312" w:cs="仿宋_GB2312"/>
          <w:b w:val="0"/>
          <w:bCs w:val="0"/>
          <w:sz w:val="32"/>
          <w:szCs w:val="32"/>
          <w:lang w:val="en-US" w:eastAsia="zh-CN"/>
        </w:rPr>
        <w:t>让更多正能量网络宣传飞入寻常百姓家。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建强用好湡水网军队伍。持续加强“湡水网军”建设工程，在做好核心网评员建设的同时，加强骨干网评员建设工作，通过组织召开专题培训会，开展网络舆论引导应急比武演练等活动，进一步提升全市舆论引导应急能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增强网上舆情监测处置力度。一是谋划搭建更新网络舆情监测平台，针对微信、短视频等新媒体舆情信息，能够及时监测，及时处置苗头性、易发酵的舆情；二是定期组织召开各相关单位舆情应对处置联席会商会议；三是建立舆情工作台账，搭建重大舆情案例数据库，围绕重点敏感时间节点，严格管控政治类有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四、切实提升</w:t>
      </w:r>
      <w:r>
        <w:rPr>
          <w:rFonts w:hint="eastAsia" w:ascii="仿宋_GB2312" w:hAnsi="仿宋_GB2312" w:eastAsia="仿宋_GB2312" w:cs="仿宋_GB2312"/>
          <w:b w:val="0"/>
          <w:bCs w:val="0"/>
          <w:sz w:val="32"/>
          <w:szCs w:val="32"/>
        </w:rPr>
        <w:t>网络安全防护</w:t>
      </w:r>
      <w:r>
        <w:rPr>
          <w:rFonts w:hint="eastAsia" w:ascii="仿宋_GB2312" w:hAnsi="仿宋_GB2312" w:eastAsia="仿宋_GB2312" w:cs="仿宋_GB2312"/>
          <w:b w:val="0"/>
          <w:bCs w:val="0"/>
          <w:sz w:val="32"/>
          <w:szCs w:val="32"/>
          <w:lang w:eastAsia="zh-CN"/>
        </w:rPr>
        <w:t>体系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一是持续</w:t>
      </w:r>
      <w:r>
        <w:rPr>
          <w:rFonts w:hint="eastAsia" w:ascii="仿宋_GB2312" w:hAnsi="仿宋_GB2312" w:eastAsia="仿宋_GB2312" w:cs="仿宋_GB2312"/>
          <w:b w:val="0"/>
          <w:bCs w:val="0"/>
          <w:sz w:val="32"/>
          <w:szCs w:val="32"/>
        </w:rPr>
        <w:t>开展政务平台、上云系统和重点单位网站安全常态化和专项</w:t>
      </w:r>
      <w:r>
        <w:rPr>
          <w:rFonts w:hint="eastAsia" w:ascii="仿宋_GB2312" w:hAnsi="仿宋_GB2312" w:eastAsia="仿宋_GB2312" w:cs="仿宋_GB2312"/>
          <w:b w:val="0"/>
          <w:bCs w:val="0"/>
          <w:sz w:val="32"/>
          <w:szCs w:val="32"/>
          <w:lang w:eastAsia="zh-CN"/>
        </w:rPr>
        <w:t>检查</w:t>
      </w:r>
      <w:r>
        <w:rPr>
          <w:rFonts w:hint="eastAsia" w:ascii="仿宋_GB2312" w:hAnsi="仿宋_GB2312" w:eastAsia="仿宋_GB2312" w:cs="仿宋_GB2312"/>
          <w:b w:val="0"/>
          <w:bCs w:val="0"/>
          <w:sz w:val="32"/>
          <w:szCs w:val="32"/>
        </w:rPr>
        <w:t>检测</w:t>
      </w:r>
      <w:r>
        <w:rPr>
          <w:rFonts w:hint="eastAsia" w:ascii="仿宋_GB2312" w:hAnsi="仿宋_GB2312" w:eastAsia="仿宋_GB2312" w:cs="仿宋_GB2312"/>
          <w:b w:val="0"/>
          <w:bCs w:val="0"/>
          <w:sz w:val="32"/>
          <w:szCs w:val="32"/>
          <w:lang w:eastAsia="zh-CN"/>
        </w:rPr>
        <w:t>；二是积极</w:t>
      </w:r>
      <w:r>
        <w:rPr>
          <w:rFonts w:hint="eastAsia" w:ascii="仿宋_GB2312" w:hAnsi="仿宋_GB2312" w:eastAsia="仿宋_GB2312" w:cs="仿宋_GB2312"/>
          <w:b w:val="0"/>
          <w:bCs w:val="0"/>
          <w:sz w:val="32"/>
          <w:szCs w:val="32"/>
        </w:rPr>
        <w:t>办好202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年国家网络安全宣传周活动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开展网络安全“五进”宣传活动</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强化主体责任</w:t>
      </w:r>
      <w:r>
        <w:rPr>
          <w:rFonts w:hint="eastAsia" w:ascii="仿宋_GB2312" w:hAnsi="仿宋_GB2312" w:eastAsia="仿宋_GB2312" w:cs="仿宋_GB2312"/>
          <w:b w:val="0"/>
          <w:bCs w:val="0"/>
          <w:sz w:val="32"/>
          <w:szCs w:val="32"/>
          <w:lang w:eastAsia="zh-CN"/>
        </w:rPr>
        <w:t>，健全网络安全机制，明确各涉网用网单位工作职责，提升网络安全应急处置水平</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五、深化网络综合治理体系。一是</w:t>
      </w:r>
      <w:r>
        <w:rPr>
          <w:rFonts w:hint="eastAsia" w:ascii="仿宋_GB2312" w:hAnsi="仿宋_GB2312" w:eastAsia="仿宋_GB2312" w:cs="仿宋_GB2312"/>
          <w:b w:val="0"/>
          <w:bCs w:val="0"/>
          <w:sz w:val="32"/>
          <w:szCs w:val="32"/>
        </w:rPr>
        <w:t>深入开展“净网”专项行动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加强网络管理执法，加大对属地自媒体违法违规行为的处罚力度；二是</w:t>
      </w:r>
      <w:r>
        <w:rPr>
          <w:rFonts w:hint="eastAsia" w:ascii="仿宋_GB2312" w:hAnsi="仿宋_GB2312" w:eastAsia="仿宋_GB2312" w:cs="仿宋_GB2312"/>
          <w:b w:val="0"/>
          <w:bCs w:val="0"/>
          <w:sz w:val="32"/>
          <w:szCs w:val="32"/>
        </w:rPr>
        <w:t>加强互联网新闻信息服务从业人员管理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建立从业人信息库</w:t>
      </w:r>
      <w:r>
        <w:rPr>
          <w:rFonts w:hint="eastAsia" w:ascii="仿宋_GB2312" w:hAnsi="仿宋_GB2312" w:eastAsia="仿宋_GB2312" w:cs="仿宋_GB2312"/>
          <w:b w:val="0"/>
          <w:bCs w:val="0"/>
          <w:sz w:val="32"/>
          <w:szCs w:val="32"/>
          <w:lang w:eastAsia="zh-CN"/>
        </w:rPr>
        <w:t>，召开专题</w:t>
      </w:r>
      <w:r>
        <w:rPr>
          <w:rFonts w:hint="eastAsia" w:ascii="仿宋_GB2312" w:hAnsi="仿宋_GB2312" w:eastAsia="仿宋_GB2312" w:cs="仿宋_GB2312"/>
          <w:b w:val="0"/>
          <w:bCs w:val="0"/>
          <w:sz w:val="32"/>
          <w:szCs w:val="32"/>
        </w:rPr>
        <w:t>培训</w:t>
      </w:r>
      <w:r>
        <w:rPr>
          <w:rFonts w:hint="eastAsia" w:ascii="仿宋_GB2312" w:hAnsi="仿宋_GB2312" w:eastAsia="仿宋_GB2312" w:cs="仿宋_GB2312"/>
          <w:b w:val="0"/>
          <w:bCs w:val="0"/>
          <w:sz w:val="32"/>
          <w:szCs w:val="32"/>
          <w:lang w:val="en-US" w:eastAsia="zh-CN"/>
        </w:rPr>
        <w:t>；三是加大网络辟谣工作力度，健全网络辟谣联动机制，及时有效处置网络谣言，持续开展“网络辟谣”“利民护企”等“五进”宣传活动。</w:t>
      </w:r>
    </w:p>
    <w:p>
      <w:pPr>
        <w:pStyle w:val="2"/>
        <w:keepNext w:val="0"/>
        <w:keepLines w:val="0"/>
        <w:pageBreakBefore w:val="0"/>
        <w:widowControl w:val="0"/>
        <w:kinsoku/>
        <w:wordWrap/>
        <w:overflowPunct/>
        <w:topLinePunct w:val="0"/>
        <w:bidi w:val="0"/>
        <w:snapToGrid/>
        <w:spacing w:after="0"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三、工作保障措施</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提高政治站位。坚持以习近平新时代中国特色社会主义思想为指导，紧紧围绕市委重大决策部署，立足发展全局，突出工作重点，深化有效举措，着力提升网信工作水平，确保全年目标任务高质量完成。</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eastAsia="仿宋_GB2312"/>
          <w:sz w:val="32"/>
        </w:rPr>
      </w:pPr>
      <w:r>
        <w:rPr>
          <w:rFonts w:hint="eastAsia" w:ascii="仿宋_GB2312" w:eastAsia="仿宋_GB2312"/>
          <w:sz w:val="32"/>
        </w:rPr>
        <w:t>（二）强化预算执行，严格支出管理</w:t>
      </w:r>
      <w:r>
        <w:rPr>
          <w:rFonts w:hint="eastAsia" w:ascii="仿宋_GB2312" w:eastAsia="仿宋_GB2312"/>
          <w:sz w:val="32"/>
          <w:lang w:eastAsia="zh-CN"/>
        </w:rPr>
        <w:t>。</w:t>
      </w:r>
      <w:r>
        <w:rPr>
          <w:rFonts w:hint="eastAsia" w:ascii="仿宋_GB2312" w:eastAsia="仿宋_GB2312"/>
          <w:sz w:val="32"/>
        </w:rPr>
        <w:t>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三</w:t>
      </w:r>
      <w:r>
        <w:rPr>
          <w:rFonts w:hint="eastAsia" w:ascii="仿宋_GB2312" w:eastAsia="仿宋_GB2312"/>
          <w:sz w:val="32"/>
        </w:rPr>
        <w:t>）健全评价机制，狠抓工作落实</w:t>
      </w:r>
      <w:r>
        <w:rPr>
          <w:rFonts w:hint="eastAsia" w:ascii="仿宋_GB2312" w:eastAsia="仿宋_GB2312"/>
          <w:sz w:val="32"/>
          <w:lang w:eastAsia="zh-CN"/>
        </w:rPr>
        <w:t>。</w:t>
      </w:r>
      <w:r>
        <w:rPr>
          <w:rFonts w:hint="eastAsia" w:ascii="仿宋_GB2312" w:eastAsia="仿宋_GB2312"/>
          <w:sz w:val="32"/>
        </w:rPr>
        <w:t>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仿宋_GB2312" w:eastAsia="仿宋_GB2312"/>
          <w:sz w:val="32"/>
        </w:rPr>
      </w:pPr>
      <w:r>
        <w:rPr>
          <w:rFonts w:hint="eastAsia" w:ascii="仿宋_GB2312" w:eastAsia="仿宋_GB2312"/>
          <w:sz w:val="32"/>
        </w:rPr>
        <w:t>（</w:t>
      </w:r>
      <w:r>
        <w:rPr>
          <w:rFonts w:hint="eastAsia" w:ascii="仿宋_GB2312" w:eastAsia="仿宋_GB2312"/>
          <w:sz w:val="32"/>
          <w:lang w:eastAsia="zh-CN"/>
        </w:rPr>
        <w:t>四</w:t>
      </w:r>
      <w:r>
        <w:rPr>
          <w:rFonts w:hint="eastAsia" w:ascii="仿宋_GB2312" w:eastAsia="仿宋_GB2312"/>
          <w:sz w:val="32"/>
        </w:rPr>
        <w:t>）加强内部监督，规范财务管理</w:t>
      </w:r>
      <w:r>
        <w:rPr>
          <w:rFonts w:hint="eastAsia" w:ascii="仿宋_GB2312" w:eastAsia="仿宋_GB2312"/>
          <w:sz w:val="32"/>
          <w:lang w:eastAsia="zh-CN"/>
        </w:rPr>
        <w:t>。</w:t>
      </w:r>
      <w:r>
        <w:rPr>
          <w:rFonts w:hint="eastAsia" w:ascii="仿宋_GB2312" w:eastAsia="仿宋_GB2312"/>
          <w:sz w:val="32"/>
        </w:rPr>
        <w:t>综合股负责对绩效运行情况、重大支出决策、资产处置及其他重要事项的决策和执行进行督导，对会计资料进行内部审计，并配合做好审计、财政监督等外部监督工作，确保财政资金安全有效。要完善财务管理制度，严格审批程序，加强固定资产登记、使用和报废处置管理，做到支出合理，物尽其用。</w:t>
      </w: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hint="eastAsia" w:ascii="仿宋_GB2312" w:hAnsi="Times New Roman" w:eastAsia="仿宋_GB2312"/>
          <w:b/>
          <w:sz w:val="32"/>
          <w:szCs w:val="32"/>
        </w:rPr>
      </w:pPr>
    </w:p>
    <w:p>
      <w:pPr>
        <w:ind w:firstLine="1928" w:firstLineChars="600"/>
        <w:jc w:val="left"/>
        <w:outlineLvl w:val="1"/>
        <w:rPr>
          <w:rFonts w:ascii="仿宋_GB2312" w:hAnsi="Times New Roman" w:eastAsia="仿宋_GB2312"/>
          <w:b/>
          <w:sz w:val="32"/>
          <w:szCs w:val="32"/>
        </w:rPr>
      </w:pPr>
      <w:r>
        <w:rPr>
          <w:rFonts w:hint="eastAsia" w:ascii="仿宋_GB2312" w:hAnsi="Times New Roman" w:eastAsia="仿宋_GB2312"/>
          <w:b/>
          <w:sz w:val="32"/>
          <w:szCs w:val="32"/>
        </w:rPr>
        <w:t>第二部分</w:t>
      </w:r>
      <w:r>
        <w:rPr>
          <w:rFonts w:ascii="仿宋_GB2312" w:hAnsi="Times New Roman" w:eastAsia="仿宋_GB2312"/>
          <w:b/>
          <w:sz w:val="32"/>
          <w:szCs w:val="32"/>
        </w:rPr>
        <w:t xml:space="preserve">  </w:t>
      </w:r>
      <w:r>
        <w:rPr>
          <w:rFonts w:hint="eastAsia" w:ascii="仿宋_GB2312" w:hAnsi="Times New Roman" w:eastAsia="仿宋_GB2312"/>
          <w:b/>
          <w:sz w:val="32"/>
          <w:szCs w:val="32"/>
        </w:rPr>
        <w:t>预算项目绩效目标</w:t>
      </w:r>
    </w:p>
    <w:p>
      <w:pPr>
        <w:ind w:firstLine="2409" w:firstLineChars="1000"/>
        <w:jc w:val="left"/>
        <w:outlineLvl w:val="3"/>
        <w:rPr>
          <w:rFonts w:hAnsi="宋体"/>
          <w:b/>
          <w:sz w:val="28"/>
        </w:rPr>
      </w:pPr>
      <w:bookmarkStart w:id="10" w:name="_Toc67336068"/>
      <w:r>
        <w:rPr>
          <w:rFonts w:hint="eastAsia" w:ascii="方正仿宋_GBK" w:eastAsia="方正仿宋_GBK"/>
          <w:b/>
          <w:sz w:val="24"/>
          <w:szCs w:val="24"/>
        </w:rPr>
        <w:t>1.网络</w:t>
      </w:r>
      <w:r>
        <w:rPr>
          <w:rFonts w:hint="eastAsia" w:ascii="方正仿宋_GBK" w:eastAsia="方正仿宋_GBK"/>
          <w:b/>
          <w:sz w:val="24"/>
          <w:szCs w:val="24"/>
          <w:lang w:eastAsia="zh-CN"/>
        </w:rPr>
        <w:t>宣传经费</w:t>
      </w:r>
      <w:r>
        <w:rPr>
          <w:rFonts w:hint="eastAsia" w:ascii="方正仿宋_GBK" w:eastAsia="方正仿宋_GBK"/>
          <w:b/>
          <w:sz w:val="24"/>
          <w:szCs w:val="24"/>
        </w:rPr>
        <w:t>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1、网络正面宣传引导和舆情监测绩效目标表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137002中共沙河市委网络安全和信息化委员会办公室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13058221D7U9EXQGV7K8W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网络正面宣传引导和舆情监测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lang w:val="en-US" w:eastAsia="zh-CN"/>
              </w:rPr>
              <w:t>55000</w:t>
            </w:r>
            <w:r>
              <w:rPr>
                <w:rFonts w:ascii="方正书宋_GBK" w:eastAsia="方正书宋_GBK"/>
              </w:rPr>
              <w:t>.00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lang w:val="en-US" w:eastAsia="zh-CN"/>
              </w:rPr>
              <w:t>55000</w:t>
            </w:r>
            <w:r>
              <w:rPr>
                <w:rFonts w:ascii="方正书宋_GBK" w:eastAsia="方正书宋_GBK"/>
              </w:rPr>
              <w:t>.00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1.开展主题教育宣传活动，制作相关宣传用品。2.加强舆论舆情引导管理，及时化解、妥善处理负面舆情。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lang w:val="en-US" w:eastAsia="zh-CN"/>
              </w:rPr>
              <w:t>0</w:t>
            </w:r>
            <w:r>
              <w:rPr>
                <w:rFonts w:ascii="方正书宋_GBK" w:eastAsia="方正书宋_GBK"/>
              </w:rPr>
              <w:t>.00%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lang w:val="en-US" w:eastAsia="zh-CN"/>
              </w:rPr>
              <w:t>5</w:t>
            </w:r>
            <w:r>
              <w:rPr>
                <w:rFonts w:ascii="方正书宋_GBK" w:eastAsia="方正书宋_GBK"/>
              </w:rPr>
              <w:t>.00%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1.推动宣传思想文化事业发展，汇聚正能量。</w:t>
            </w:r>
          </w:p>
          <w:p>
            <w:pPr>
              <w:spacing w:line="300" w:lineRule="exact"/>
              <w:jc w:val="left"/>
              <w:rPr>
                <w:rFonts w:hint="eastAsia" w:ascii="方正书宋_GBK" w:eastAsia="方正书宋_GBK"/>
              </w:rPr>
            </w:pPr>
            <w:r>
              <w:rPr>
                <w:rFonts w:hint="eastAsia" w:ascii="方正书宋_GBK" w:eastAsia="方正书宋_GBK"/>
              </w:rPr>
              <w:t>2.管理全市互联网信息内容，维护网络舆论生态</w:t>
            </w:r>
          </w:p>
          <w:p>
            <w:pPr>
              <w:spacing w:line="300" w:lineRule="exact"/>
              <w:jc w:val="left"/>
              <w:rPr>
                <w:rFonts w:ascii="方正书宋_GBK" w:eastAsia="方正书宋_GBK"/>
              </w:rPr>
            </w:pPr>
            <w:r>
              <w:rPr>
                <w:rFonts w:hint="eastAsia" w:ascii="方正书宋_GBK" w:eastAsia="方正书宋_GBK"/>
              </w:rPr>
              <w:t>3.能利用人工和技术手段第一时间发现重大负面舆情，将舆情控制在可控范围。</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互联网重大突发事件应急处置率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处置互联网重大突发事件数量占互联网重大突发事件数量的比例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开展网络舆情生态环境治理次数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开展网络舆情生态环境治理次数</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网络热点问题处置率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督促相关单位对网络热点问题解决数量比例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按预算支出</w:t>
            </w:r>
          </w:p>
        </w:tc>
        <w:tc>
          <w:tcPr>
            <w:tcW w:w="1276" w:type="dxa"/>
            <w:shd w:val="clear" w:color="auto" w:fill="auto"/>
            <w:noWrap w:val="0"/>
            <w:vAlign w:val="center"/>
          </w:tcPr>
          <w:p>
            <w:pPr>
              <w:spacing w:line="300" w:lineRule="exact"/>
              <w:jc w:val="left"/>
              <w:rPr>
                <w:rFonts w:hint="default" w:ascii="方正书宋_GBK" w:eastAsia="仿宋_GB2312"/>
                <w:lang w:val="en-US" w:eastAsia="zh-CN"/>
              </w:rPr>
            </w:pPr>
            <w:r>
              <w:rPr>
                <w:rFonts w:hint="eastAsia" w:ascii="仿宋_GB2312" w:eastAsia="仿宋_GB2312"/>
              </w:rPr>
              <w:t>≤</w:t>
            </w:r>
            <w:r>
              <w:rPr>
                <w:rFonts w:hint="eastAsia" w:ascii="仿宋_GB2312" w:eastAsia="仿宋_GB2312"/>
                <w:lang w:val="en-US" w:eastAsia="zh-CN"/>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新媒体文章被上级采用次数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我市新媒体公众号文章被上级采用数量（次）</w:t>
            </w:r>
          </w:p>
        </w:tc>
        <w:tc>
          <w:tcPr>
            <w:tcW w:w="1276" w:type="dxa"/>
            <w:shd w:val="clear" w:color="auto" w:fill="auto"/>
            <w:noWrap w:val="0"/>
            <w:vAlign w:val="center"/>
          </w:tcPr>
          <w:p>
            <w:pPr>
              <w:spacing w:line="300" w:lineRule="exact"/>
              <w:jc w:val="left"/>
              <w:rPr>
                <w:rFonts w:hint="eastAsia" w:ascii="方正书宋_GBK" w:hAnsi="方正书宋_GBK" w:eastAsia="方正书宋_GBK" w:cs="方正书宋_GBK"/>
                <w:lang w:val="en-US" w:eastAsia="zh-CN"/>
              </w:rPr>
            </w:pPr>
            <w:r>
              <w:rPr>
                <w:rFonts w:hint="eastAsia" w:ascii="方正书宋_GBK" w:eastAsia="方正书宋_GBK"/>
              </w:rPr>
              <w:t>≥75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网评队伍任务完成情况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完成任务占全部任务的比例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年度</w:t>
            </w: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突发事件新闻处置完成率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处置完成突发事件新闻数量占突发事件新闻数量的比例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90%</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历史标准</w:t>
            </w:r>
          </w:p>
        </w:tc>
      </w:tr>
    </w:tbl>
    <w:p>
      <w:pPr>
        <w:ind w:firstLine="482" w:firstLineChars="200"/>
        <w:jc w:val="left"/>
        <w:outlineLvl w:val="3"/>
        <w:rPr>
          <w:rFonts w:hint="eastAsia" w:ascii="方正仿宋_GBK" w:eastAsia="方正仿宋_GBK"/>
          <w:b/>
          <w:sz w:val="24"/>
          <w:szCs w:val="24"/>
        </w:rPr>
      </w:pPr>
      <w:bookmarkStart w:id="11" w:name="_Toc67336069"/>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int="eastAsia" w:ascii="方正仿宋_GBK" w:eastAsia="方正仿宋_GBK"/>
          <w:b/>
          <w:sz w:val="24"/>
          <w:szCs w:val="24"/>
        </w:rPr>
      </w:pPr>
    </w:p>
    <w:p>
      <w:pPr>
        <w:ind w:firstLine="482" w:firstLineChars="200"/>
        <w:jc w:val="left"/>
        <w:outlineLvl w:val="3"/>
        <w:rPr>
          <w:rFonts w:hAnsi="宋体"/>
          <w:b/>
          <w:sz w:val="28"/>
        </w:rPr>
      </w:pPr>
      <w:r>
        <w:rPr>
          <w:rFonts w:hint="eastAsia" w:ascii="方正仿宋_GBK" w:eastAsia="方正仿宋_GBK"/>
          <w:b/>
          <w:sz w:val="24"/>
          <w:szCs w:val="24"/>
        </w:rPr>
        <w:t>2.网络安全和信息化工作经费绩效目标表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2、网络安全和信息化工作经费绩效目标表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137002中共沙河市委网络安全和信息化委员会办公室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13058221XLY1P5BZ2Q6T5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网络安全和信息化工作经费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40500</w:t>
            </w:r>
            <w:r>
              <w:rPr>
                <w:rFonts w:ascii="方正书宋_GBK" w:eastAsia="方正书宋_GBK"/>
              </w:rPr>
              <w:t>.00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负责单位办公日常运转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56.00%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1.确保各项业务工作谋划到位、顺利开展</w:t>
            </w:r>
          </w:p>
          <w:p>
            <w:pPr>
              <w:spacing w:line="300" w:lineRule="exact"/>
              <w:jc w:val="left"/>
              <w:rPr>
                <w:rFonts w:ascii="方正书宋_GBK" w:eastAsia="方正书宋_GBK"/>
              </w:rPr>
            </w:pPr>
            <w:r>
              <w:rPr>
                <w:rFonts w:hint="eastAsia" w:ascii="方正书宋_GBK" w:eastAsia="方正书宋_GBK"/>
              </w:rPr>
              <w:t>2.保障机关工作正常高效运转</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重点工作督查督办率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实际督查督办数占重点工作的比例</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规划、制度完成率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制度完成情况占年度计划的比例</w:t>
            </w:r>
          </w:p>
        </w:tc>
        <w:tc>
          <w:tcPr>
            <w:tcW w:w="1276"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≥95</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按预算支出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按预算支出</w:t>
            </w:r>
          </w:p>
        </w:tc>
        <w:tc>
          <w:tcPr>
            <w:tcW w:w="1276" w:type="dxa"/>
            <w:shd w:val="clear" w:color="auto" w:fill="auto"/>
            <w:noWrap w:val="0"/>
            <w:vAlign w:val="center"/>
          </w:tcPr>
          <w:p>
            <w:pPr>
              <w:spacing w:line="300" w:lineRule="exact"/>
              <w:jc w:val="left"/>
              <w:rPr>
                <w:rFonts w:hint="default" w:ascii="方正书宋_GBK" w:eastAsia="仿宋_GB2312"/>
                <w:lang w:val="en-US" w:eastAsia="zh-CN"/>
              </w:rPr>
            </w:pPr>
            <w:r>
              <w:rPr>
                <w:rFonts w:hint="eastAsia" w:ascii="仿宋_GB2312" w:eastAsia="仿宋_GB2312"/>
              </w:rPr>
              <w:t>≤</w:t>
            </w:r>
            <w:r>
              <w:rPr>
                <w:rFonts w:hint="eastAsia" w:ascii="仿宋_GB2312" w:eastAsia="仿宋_GB2312"/>
                <w:lang w:val="en-US" w:eastAsia="zh-CN"/>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重点工作完成情况</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≥90</w:t>
            </w:r>
            <w:r>
              <w:rPr>
                <w:rFonts w:hint="eastAsia" w:ascii="方正书宋_GBK" w:eastAsia="方正书宋_GBK"/>
                <w:lang w:val="en-US" w:eastAsia="zh-CN"/>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w:t>
            </w:r>
            <w:r>
              <w:rPr>
                <w:rFonts w:hint="eastAsia" w:ascii="方正书宋_GBK" w:eastAsia="方正书宋_GBK"/>
                <w:lang w:eastAsia="zh-CN"/>
              </w:rPr>
              <w:t>单位</w:t>
            </w:r>
            <w:r>
              <w:rPr>
                <w:rFonts w:hint="eastAsia" w:ascii="方正书宋_GBK" w:eastAsia="方正书宋_GBK"/>
              </w:rPr>
              <w:t>职责表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≥9</w:t>
            </w:r>
            <w:r>
              <w:rPr>
                <w:rFonts w:hint="eastAsia" w:ascii="方正书宋_GBK" w:eastAsia="方正书宋_GBK"/>
                <w:lang w:val="en-US" w:eastAsia="zh-CN"/>
              </w:rPr>
              <w:t>0%</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历史标准</w:t>
            </w:r>
          </w:p>
        </w:tc>
      </w:tr>
    </w:tbl>
    <w:p>
      <w:pPr>
        <w:spacing w:line="300" w:lineRule="exact"/>
        <w:jc w:val="left"/>
        <w:outlineLvl w:val="0"/>
      </w:pPr>
    </w:p>
    <w:p>
      <w:pPr>
        <w:widowControl w:val="0"/>
        <w:numPr>
          <w:ilvl w:val="0"/>
          <w:numId w:val="0"/>
        </w:numPr>
        <w:wordWrap/>
        <w:adjustRightInd/>
        <w:snapToGrid/>
        <w:spacing w:line="61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六、政府采购预算情况</w:t>
      </w:r>
    </w:p>
    <w:p>
      <w:pPr>
        <w:widowControl w:val="0"/>
        <w:numPr>
          <w:ilvl w:val="0"/>
          <w:numId w:val="0"/>
        </w:numPr>
        <w:wordWrap/>
        <w:adjustRightInd/>
        <w:snapToGrid/>
        <w:spacing w:line="610" w:lineRule="exact"/>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2022年，我单位未安排政府采购预算。</w:t>
      </w:r>
    </w:p>
    <w:p>
      <w:pPr>
        <w:widowControl w:val="0"/>
        <w:numPr>
          <w:ilvl w:val="0"/>
          <w:numId w:val="0"/>
        </w:numPr>
        <w:wordWrap/>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七、国有资产信息</w:t>
      </w:r>
    </w:p>
    <w:p>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eastAsia="zh-CN"/>
        </w:rPr>
        <w:t>中共沙河市委网络安全和信息化委员会办公室</w:t>
      </w:r>
      <w:r>
        <w:rPr>
          <w:rFonts w:hint="eastAsia" w:ascii="仿宋_GB2312" w:hAnsi="仿宋_GB2312" w:eastAsia="仿宋_GB2312"/>
          <w:color w:val="000000"/>
          <w:sz w:val="32"/>
        </w:rPr>
        <w:t>固定资产金额为</w:t>
      </w:r>
      <w:r>
        <w:rPr>
          <w:rFonts w:hint="eastAsia" w:ascii="仿宋_GB2312" w:hAnsi="仿宋_GB2312" w:eastAsia="仿宋_GB2312"/>
          <w:color w:val="000000"/>
          <w:sz w:val="32"/>
          <w:lang w:val="en-US" w:eastAsia="zh-CN"/>
        </w:rPr>
        <w:t>12.23</w:t>
      </w:r>
      <w:r>
        <w:rPr>
          <w:rFonts w:hint="eastAsia" w:ascii="仿宋_GB2312" w:hAnsi="仿宋_GB2312" w:eastAsia="仿宋_GB2312"/>
          <w:color w:val="000000"/>
          <w:sz w:val="32"/>
        </w:rPr>
        <w:t>万元</w:t>
      </w:r>
      <w:r>
        <w:rPr>
          <w:rFonts w:hint="eastAsia" w:ascii="仿宋_GB2312" w:hAnsi="仿宋_GB2312" w:eastAsia="仿宋_GB2312"/>
          <w:sz w:val="32"/>
          <w:szCs w:val="32"/>
        </w:rPr>
        <w:t>（详见下表）</w:t>
      </w:r>
    </w:p>
    <w:tbl>
      <w:tblPr>
        <w:tblStyle w:val="8"/>
        <w:tblW w:w="9135" w:type="dxa"/>
        <w:tblInd w:w="2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09"/>
        <w:gridCol w:w="181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9135" w:type="dxa"/>
            <w:gridSpan w:val="4"/>
            <w:noWrap w:val="0"/>
            <w:vAlign w:val="top"/>
          </w:tcPr>
          <w:p>
            <w:pPr>
              <w:autoSpaceDE w:val="0"/>
              <w:autoSpaceDN w:val="0"/>
              <w:jc w:val="center"/>
              <w:rPr>
                <w:rFonts w:hint="eastAsia" w:ascii="仿宋_GB2312" w:hAnsi="仿宋_GB2312" w:eastAsia="仿宋_GB2312"/>
                <w:color w:val="000000"/>
                <w:sz w:val="32"/>
              </w:rPr>
            </w:pPr>
            <w:r>
              <w:rPr>
                <w:rFonts w:hint="eastAsia" w:ascii="宋体" w:hAnsi="宋体" w:eastAsia="宋体" w:cs="宋体"/>
                <w:color w:val="000000"/>
                <w:sz w:val="22"/>
                <w:szCs w:val="22"/>
                <w:lang w:eastAsia="zh-CN"/>
              </w:rPr>
              <w:t>中共沙河市委网络安全和信息化委员会办公室</w:t>
            </w:r>
            <w:r>
              <w:rPr>
                <w:rFonts w:hint="eastAsia" w:ascii="宋体" w:hAnsi="宋体" w:eastAsia="宋体" w:cs="宋体"/>
                <w:color w:val="000000"/>
                <w:sz w:val="22"/>
                <w:szCs w:val="22"/>
              </w:rPr>
              <w:t>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83"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编制</w:t>
            </w:r>
            <w:r>
              <w:rPr>
                <w:rFonts w:hint="eastAsia" w:ascii="宋体" w:hAnsi="宋体" w:eastAsia="宋体" w:cs="宋体"/>
                <w:color w:val="000000"/>
                <w:sz w:val="22"/>
                <w:szCs w:val="22"/>
                <w:lang w:eastAsia="zh-CN"/>
              </w:rPr>
              <w:t>单位</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中共沙河市委网络安全和信息化委员会办公室</w:t>
            </w:r>
          </w:p>
        </w:tc>
        <w:tc>
          <w:tcPr>
            <w:tcW w:w="5852"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截止时间：20</w:t>
            </w:r>
            <w:r>
              <w:rPr>
                <w:rFonts w:hint="eastAsia" w:ascii="宋体" w:hAnsi="宋体" w:cs="宋体"/>
                <w:color w:val="000000"/>
                <w:sz w:val="22"/>
                <w:szCs w:val="22"/>
                <w:lang w:val="en-US" w:eastAsia="zh-CN"/>
              </w:rPr>
              <w:t>21</w:t>
            </w:r>
            <w:r>
              <w:rPr>
                <w:rFonts w:hint="eastAsia" w:ascii="宋体" w:hAnsi="宋体" w:eastAsia="宋体" w:cs="宋体"/>
                <w:color w:val="000000"/>
                <w:sz w:val="22"/>
                <w:szCs w:val="22"/>
              </w:rPr>
              <w:t xml:space="preserve">年12月31日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项 目 </w:t>
            </w:r>
          </w:p>
        </w:tc>
        <w:tc>
          <w:tcPr>
            <w:tcW w:w="3619"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数量 </w:t>
            </w:r>
          </w:p>
        </w:tc>
        <w:tc>
          <w:tcPr>
            <w:tcW w:w="4042"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价值（金额单位：万元）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资产总额 </w:t>
            </w:r>
          </w:p>
        </w:tc>
        <w:tc>
          <w:tcPr>
            <w:tcW w:w="3619" w:type="dxa"/>
            <w:gridSpan w:val="2"/>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4042" w:type="dxa"/>
            <w:noWrap w:val="0"/>
            <w:vAlign w:val="top"/>
          </w:tcPr>
          <w:p>
            <w:pPr>
              <w:autoSpaceDE w:val="0"/>
              <w:autoSpaceDN w:val="0"/>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1、房屋（平方米）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其中：办公用房（平方米）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2、车辆（台、辆）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cs="宋体"/>
                <w:kern w:val="0"/>
                <w:sz w:val="22"/>
                <w:szCs w:val="22"/>
                <w:lang w:val="en-US" w:eastAsia="zh-CN"/>
              </w:rPr>
              <w:t>3、</w:t>
            </w:r>
            <w:r>
              <w:rPr>
                <w:rFonts w:hint="eastAsia" w:ascii="宋体" w:hAnsi="宋体" w:eastAsia="宋体" w:cs="宋体"/>
                <w:kern w:val="0"/>
                <w:sz w:val="22"/>
                <w:szCs w:val="22"/>
              </w:rPr>
              <w:t>单价在20万元以上的设备</w:t>
            </w:r>
          </w:p>
        </w:tc>
        <w:tc>
          <w:tcPr>
            <w:tcW w:w="3619" w:type="dxa"/>
            <w:gridSpan w:val="2"/>
            <w:noWrap w:val="0"/>
            <w:vAlign w:val="top"/>
          </w:tcPr>
          <w:p>
            <w:pPr>
              <w:autoSpaceDE w:val="0"/>
              <w:autoSpaceDN w:val="0"/>
              <w:rPr>
                <w:rFonts w:hint="eastAsia" w:ascii="宋体" w:hAnsi="宋体" w:eastAsia="宋体" w:cs="宋体"/>
                <w:color w:val="000000"/>
                <w:sz w:val="22"/>
                <w:szCs w:val="22"/>
                <w:lang w:eastAsia="zh-CN"/>
              </w:rPr>
            </w:pPr>
          </w:p>
        </w:tc>
        <w:tc>
          <w:tcPr>
            <w:tcW w:w="4042" w:type="dxa"/>
            <w:noWrap w:val="0"/>
            <w:vAlign w:val="top"/>
          </w:tcPr>
          <w:p>
            <w:pPr>
              <w:autoSpaceDE w:val="0"/>
              <w:autoSpaceDN w:val="0"/>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474" w:type="dxa"/>
            <w:noWrap w:val="0"/>
            <w:vAlign w:val="top"/>
          </w:tcPr>
          <w:p>
            <w:pPr>
              <w:autoSpaceDE w:val="0"/>
              <w:autoSpaceDN w:val="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4、其他固定资产 </w:t>
            </w:r>
          </w:p>
        </w:tc>
        <w:tc>
          <w:tcPr>
            <w:tcW w:w="3619" w:type="dxa"/>
            <w:gridSpan w:val="2"/>
            <w:noWrap w:val="0"/>
            <w:vAlign w:val="top"/>
          </w:tcPr>
          <w:p>
            <w:pPr>
              <w:autoSpaceDE w:val="0"/>
              <w:autoSpaceDN w:val="0"/>
              <w:rPr>
                <w:rFonts w:hint="eastAsia" w:ascii="宋体" w:hAnsi="宋体" w:eastAsia="宋体" w:cs="宋体"/>
                <w:color w:val="000000"/>
                <w:sz w:val="22"/>
                <w:szCs w:val="22"/>
              </w:rPr>
            </w:pPr>
          </w:p>
        </w:tc>
        <w:tc>
          <w:tcPr>
            <w:tcW w:w="4042" w:type="dxa"/>
            <w:noWrap w:val="0"/>
            <w:vAlign w:val="top"/>
          </w:tcPr>
          <w:p>
            <w:pPr>
              <w:autoSpaceDE w:val="0"/>
              <w:autoSpaceDN w:val="0"/>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12.23</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、一般公共预算拨款收入：指</w:t>
      </w:r>
      <w:r>
        <w:rPr>
          <w:rFonts w:hint="eastAsia" w:ascii="仿宋_GB2312" w:eastAsia="仿宋_GB2312"/>
          <w:sz w:val="32"/>
          <w:szCs w:val="32"/>
          <w:lang w:eastAsia="zh-CN"/>
        </w:rPr>
        <w:t>县</w:t>
      </w:r>
      <w:r>
        <w:rPr>
          <w:rFonts w:hint="eastAsia" w:ascii="仿宋_GB2312" w:hAnsi="Times New Roman" w:eastAsia="仿宋_GB2312"/>
          <w:sz w:val="32"/>
          <w:szCs w:val="32"/>
        </w:rPr>
        <w:t>级财政当年拨付的资金。</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、事业收入：指事业单位开展专业业务活动及辅助活动所取得的收入。</w:t>
      </w:r>
    </w:p>
    <w:p>
      <w:pPr>
        <w:ind w:firstLine="64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、其他收入：指除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ind w:firstLine="640" w:firstLineChars="2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、基本支出：指为保障机构正常运转、完成日常工作任务而发生的人员支出和公用支出。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、项目支出：指在基本支出之外为完成特定行政任务和事业发展目标所发生的支出。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6</w:t>
      </w:r>
      <w:r>
        <w:rPr>
          <w:rFonts w:hint="eastAsia" w:ascii="仿宋_GB2312" w:hAnsi="Times New Roman" w:eastAsia="仿宋_GB2312"/>
          <w:sz w:val="32"/>
          <w:szCs w:val="32"/>
        </w:rPr>
        <w:t>、上缴上级支出：指下级单位上缴上级的支出。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7</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经费：纳入</w:t>
      </w:r>
      <w:r>
        <w:rPr>
          <w:rFonts w:hint="eastAsia" w:ascii="仿宋_GB2312" w:eastAsia="仿宋_GB2312"/>
          <w:sz w:val="32"/>
          <w:szCs w:val="32"/>
          <w:lang w:eastAsia="zh-CN"/>
        </w:rPr>
        <w:t>县</w:t>
      </w:r>
      <w:bookmarkStart w:id="12" w:name="_GoBack"/>
      <w:bookmarkEnd w:id="12"/>
      <w:r>
        <w:rPr>
          <w:rFonts w:hint="eastAsia" w:ascii="仿宋_GB2312" w:hAnsi="Times New Roman" w:eastAsia="仿宋_GB2312"/>
          <w:sz w:val="32"/>
          <w:szCs w:val="32"/>
        </w:rPr>
        <w:t>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经费，是指省级</w:t>
      </w:r>
      <w:r>
        <w:rPr>
          <w:rFonts w:hint="eastAsia" w:ascii="仿宋_GB2312" w:eastAsia="仿宋_GB2312"/>
          <w:sz w:val="32"/>
          <w:szCs w:val="32"/>
          <w:lang w:eastAsia="zh-CN"/>
        </w:rPr>
        <w:t>单位</w:t>
      </w:r>
      <w:r>
        <w:rPr>
          <w:rFonts w:hint="eastAsia" w:ascii="仿宋_GB2312" w:hAnsi="Times New Roman" w:eastAsia="仿宋_GB2312"/>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8</w:t>
      </w:r>
      <w:r>
        <w:rPr>
          <w:rFonts w:hint="eastAsia" w:ascii="仿宋_GB2312" w:hAnsi="Times New Roman" w:eastAsia="仿宋_GB2312"/>
          <w:sz w:val="32"/>
          <w:szCs w:val="32"/>
        </w:rPr>
        <w:t>、机关运行费：是指各</w:t>
      </w:r>
      <w:r>
        <w:rPr>
          <w:rFonts w:hint="eastAsia" w:ascii="仿宋_GB2312" w:eastAsia="仿宋_GB2312"/>
          <w:sz w:val="32"/>
          <w:szCs w:val="32"/>
          <w:lang w:eastAsia="zh-CN"/>
        </w:rPr>
        <w:t>单位</w:t>
      </w:r>
      <w:r>
        <w:rPr>
          <w:rFonts w:hint="eastAsia" w:ascii="仿宋_GB2312" w:hAnsi="Times New Roman" w:eastAsia="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Times New Roman" w:eastAsia="仿宋_GB2312"/>
          <w:sz w:val="32"/>
          <w:szCs w:val="32"/>
        </w:rPr>
      </w:pPr>
      <w:r>
        <w:rPr>
          <w:rFonts w:ascii="仿宋_GB2312" w:hAnsi="Times New Roman" w:eastAsia="仿宋_GB2312"/>
          <w:sz w:val="32"/>
          <w:szCs w:val="32"/>
        </w:rPr>
        <w:t>9</w:t>
      </w:r>
      <w:r>
        <w:rPr>
          <w:rFonts w:hint="eastAsia" w:ascii="仿宋_GB2312" w:hAnsi="Times New Roman" w:eastAsia="仿宋_GB2312"/>
          <w:sz w:val="32"/>
          <w:szCs w:val="32"/>
        </w:rPr>
        <w:t>、上年结转：指以前年度尚未完成、结转到本年仍按原规定用途继续使用的资金。</w:t>
      </w:r>
    </w:p>
    <w:p>
      <w:pPr>
        <w:ind w:firstLine="640" w:firstLineChars="200"/>
        <w:rPr>
          <w:rFonts w:ascii="仿宋_GB2312" w:hAnsi="Times New Roman" w:eastAsia="仿宋_GB2312"/>
          <w:sz w:val="32"/>
          <w:szCs w:val="32"/>
        </w:rPr>
      </w:pPr>
      <w:r>
        <w:rPr>
          <w:rFonts w:ascii="仿宋_GB2312" w:hAnsi="Times New Roman" w:eastAsia="仿宋_GB2312"/>
          <w:sz w:val="32"/>
          <w:szCs w:val="32"/>
        </w:rPr>
        <w:t>10</w:t>
      </w:r>
      <w:r>
        <w:rPr>
          <w:rFonts w:hint="eastAsia" w:ascii="仿宋_GB2312" w:hAnsi="Times New Roman" w:eastAsia="仿宋_GB2312"/>
          <w:sz w:val="32"/>
          <w:szCs w:val="32"/>
        </w:rPr>
        <w:t>、事业单位经营支出：指事业单位在专业业务活动及其辅助活动之外开展非独立核算经营活动发生的支出。</w:t>
      </w:r>
    </w:p>
    <w:p>
      <w:pPr>
        <w:autoSpaceDE w:val="0"/>
        <w:autoSpaceDN w:val="0"/>
        <w:adjustRightInd w:val="0"/>
        <w:ind w:firstLine="640" w:firstLineChars="200"/>
        <w:jc w:val="left"/>
        <w:rPr>
          <w:rFonts w:hint="eastAsia" w:ascii="黑体" w:hAnsi="黑体" w:eastAsia="黑体"/>
          <w:sz w:val="32"/>
          <w:szCs w:val="32"/>
        </w:rPr>
      </w:pPr>
      <w:r>
        <w:rPr>
          <w:rFonts w:hint="eastAsia" w:ascii="黑体" w:hAnsi="黑体" w:eastAsia="黑体"/>
          <w:sz w:val="32"/>
          <w:szCs w:val="32"/>
        </w:rPr>
        <w:t>九、其他需要说明的事项</w:t>
      </w:r>
    </w:p>
    <w:p>
      <w:pPr>
        <w:autoSpaceDE w:val="0"/>
        <w:autoSpaceDN w:val="0"/>
        <w:adjustRightInd w:val="0"/>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我</w:t>
      </w:r>
      <w:r>
        <w:rPr>
          <w:rFonts w:hint="eastAsia" w:ascii="仿宋_GB2312" w:eastAsia="仿宋_GB2312"/>
          <w:sz w:val="32"/>
          <w:szCs w:val="32"/>
          <w:lang w:eastAsia="zh-CN"/>
        </w:rPr>
        <w:t>单位</w:t>
      </w:r>
      <w:r>
        <w:rPr>
          <w:rFonts w:hint="eastAsia" w:ascii="仿宋_GB2312" w:hAnsi="Times New Roman" w:eastAsia="仿宋_GB2312"/>
          <w:sz w:val="32"/>
          <w:szCs w:val="32"/>
        </w:rPr>
        <w:t>无其他需要说明的事项。</w:t>
      </w:r>
    </w:p>
    <w:p>
      <w:pPr>
        <w:ind w:firstLine="640" w:firstLineChars="200"/>
        <w:rPr>
          <w:rFonts w:hint="eastAsia" w:ascii="仿宋_GB2312" w:hAnsi="仿宋_GB2312" w:eastAsia="仿宋_GB2312"/>
          <w:color w:val="000000"/>
          <w:sz w:val="32"/>
          <w:lang w:val="en-US" w:eastAsia="zh-CN"/>
        </w:rPr>
      </w:pPr>
    </w:p>
    <w:p>
      <w:pPr>
        <w:spacing w:before="0" w:after="0" w:line="500" w:lineRule="exact"/>
        <w:ind w:firstLine="560"/>
        <w:jc w:val="left"/>
        <w:outlineLvl w:val="9"/>
      </w:pPr>
    </w:p>
    <w:sectPr>
      <w:pgSz w:w="16838" w:h="11906" w:orient="landscape"/>
      <w:pgMar w:top="1417" w:right="1440" w:bottom="1417"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0000000D"/>
    <w:multiLevelType w:val="singleLevel"/>
    <w:tmpl w:val="0000000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jVlZjlmMjVhNzNjZjA0MWE2ZTViNGRmOTBlOTgifQ=="/>
  </w:docVars>
  <w:rsids>
    <w:rsidRoot w:val="00000000"/>
    <w:rsid w:val="05487343"/>
    <w:rsid w:val="08233479"/>
    <w:rsid w:val="09117A2C"/>
    <w:rsid w:val="0FB95F4A"/>
    <w:rsid w:val="14685B04"/>
    <w:rsid w:val="1B144BD4"/>
    <w:rsid w:val="22DA7200"/>
    <w:rsid w:val="282F58D2"/>
    <w:rsid w:val="2CE050B4"/>
    <w:rsid w:val="300911FD"/>
    <w:rsid w:val="3496246F"/>
    <w:rsid w:val="387E7F1D"/>
    <w:rsid w:val="398A2AE9"/>
    <w:rsid w:val="3A0C3439"/>
    <w:rsid w:val="3B636138"/>
    <w:rsid w:val="3BF43E26"/>
    <w:rsid w:val="408F77BD"/>
    <w:rsid w:val="43532AC0"/>
    <w:rsid w:val="44403CD0"/>
    <w:rsid w:val="4C414F99"/>
    <w:rsid w:val="4CA45D64"/>
    <w:rsid w:val="58C6772C"/>
    <w:rsid w:val="5BFE2A3B"/>
    <w:rsid w:val="6B58489A"/>
    <w:rsid w:val="6C751E87"/>
    <w:rsid w:val="70CD62D5"/>
    <w:rsid w:val="72DE22B7"/>
    <w:rsid w:val="7A8D3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Normal]"/>
    <w:qFormat/>
    <w:uiPriority w:val="0"/>
    <w:pPr>
      <w:widowControl w:val="0"/>
      <w:autoSpaceDE w:val="0"/>
      <w:autoSpaceDN w:val="0"/>
      <w:adjustRightInd w:val="0"/>
    </w:pPr>
    <w:rPr>
      <w:rFonts w:hint="eastAsia" w:ascii="宋体" w:hAnsi="宋体" w:eastAsia="宋体" w:cs="黑体"/>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2022-07-27T10:25:43Z</dcterms:created>
  <dcterms:modified xsi:type="dcterms:W3CDTF">2022-07-27T02:25:43Z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2022-07-27T10:25:42Z</dcterms:created>
  <dcterms:modified xsi:type="dcterms:W3CDTF">2022-07-27T02:25:42Z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2022-07-27T10:25:40Z</dcterms:created>
  <dcterms:modified xsi:type="dcterms:W3CDTF">2022-07-27T02:25:40Z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2022-07-27T10:25:42Z</dcterms:created>
  <dcterms:modified xsi:type="dcterms:W3CDTF">2022-07-27T02:25:42Z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2022-07-27T10:25:41Z</dcterms:created>
  <dcterms:modified xsi:type="dcterms:W3CDTF">2022-07-27T02:25:41Z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2022-07-27T10:25:40Z</dcterms:created>
  <dcterms:modified xsi:type="dcterms:W3CDTF">2022-07-27T02:25:40Z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2022-07-27T10:25:40Z</dcterms:created>
  <dcterms:modified xsi:type="dcterms:W3CDTF">2022-07-27T02:25:40Z</dcterms:modified>
</cp:coreProperties>
</file>

<file path=customXml/itemProps1.xml><?xml version="1.0" encoding="utf-8"?>
<ds:datastoreItem xmlns:ds="http://schemas.openxmlformats.org/officeDocument/2006/customXml" ds:itemID="{31219446-7976-4b22-9f19-ec003352589c}">
  <ds:schemaRefs/>
</ds:datastoreItem>
</file>

<file path=customXml/itemProps10.xml><?xml version="1.0" encoding="utf-8"?>
<ds:datastoreItem xmlns:ds="http://schemas.openxmlformats.org/officeDocument/2006/customXml" ds:itemID="{323bca0f-b08a-4b32-ae36-38644f9d118f}">
  <ds:schemaRefs/>
</ds:datastoreItem>
</file>

<file path=customXml/itemProps11.xml><?xml version="1.0" encoding="utf-8"?>
<ds:datastoreItem xmlns:ds="http://schemas.openxmlformats.org/officeDocument/2006/customXml" ds:itemID="{da34d534-8824-488d-bab1-3e6d1ddc6801}">
  <ds:schemaRefs/>
</ds:datastoreItem>
</file>

<file path=customXml/itemProps12.xml><?xml version="1.0" encoding="utf-8"?>
<ds:datastoreItem xmlns:ds="http://schemas.openxmlformats.org/officeDocument/2006/customXml" ds:itemID="{c6e13c74-8923-4e72-af4c-518c58d16ff5}">
  <ds:schemaRefs/>
</ds:datastoreItem>
</file>

<file path=customXml/itemProps13.xml><?xml version="1.0" encoding="utf-8"?>
<ds:datastoreItem xmlns:ds="http://schemas.openxmlformats.org/officeDocument/2006/customXml" ds:itemID="{e646177c-61fe-4e3f-86d0-3c96614b6277}">
  <ds:schemaRefs/>
</ds:datastoreItem>
</file>

<file path=customXml/itemProps14.xml><?xml version="1.0" encoding="utf-8"?>
<ds:datastoreItem xmlns:ds="http://schemas.openxmlformats.org/officeDocument/2006/customXml" ds:itemID="{6ba41b05-187c-457b-9630-282c2dcab9c6}">
  <ds:schemaRefs/>
</ds:datastoreItem>
</file>

<file path=customXml/itemProps2.xml><?xml version="1.0" encoding="utf-8"?>
<ds:datastoreItem xmlns:ds="http://schemas.openxmlformats.org/officeDocument/2006/customXml" ds:itemID="{68a95b42-1d3d-4261-b40d-d94c6c4dcf8c}">
  <ds:schemaRefs/>
</ds:datastoreItem>
</file>

<file path=customXml/itemProps3.xml><?xml version="1.0" encoding="utf-8"?>
<ds:datastoreItem xmlns:ds="http://schemas.openxmlformats.org/officeDocument/2006/customXml" ds:itemID="{8979c5d2-d8c8-4d7a-bde4-f5c405b2a36e}">
  <ds:schemaRefs/>
</ds:datastoreItem>
</file>

<file path=customXml/itemProps4.xml><?xml version="1.0" encoding="utf-8"?>
<ds:datastoreItem xmlns:ds="http://schemas.openxmlformats.org/officeDocument/2006/customXml" ds:itemID="{0f3b895d-837a-488c-a4bb-9eed9a4eb1a7}">
  <ds:schemaRefs/>
</ds:datastoreItem>
</file>

<file path=customXml/itemProps5.xml><?xml version="1.0" encoding="utf-8"?>
<ds:datastoreItem xmlns:ds="http://schemas.openxmlformats.org/officeDocument/2006/customXml" ds:itemID="{2a3f7dd1-e112-4be9-9a50-34416a66b921}">
  <ds:schemaRefs/>
</ds:datastoreItem>
</file>

<file path=customXml/itemProps6.xml><?xml version="1.0" encoding="utf-8"?>
<ds:datastoreItem xmlns:ds="http://schemas.openxmlformats.org/officeDocument/2006/customXml" ds:itemID="{18bf9fd9-c225-4814-9a27-3b99144d6722}">
  <ds:schemaRefs/>
</ds:datastoreItem>
</file>

<file path=customXml/itemProps7.xml><?xml version="1.0" encoding="utf-8"?>
<ds:datastoreItem xmlns:ds="http://schemas.openxmlformats.org/officeDocument/2006/customXml" ds:itemID="{399de483-c527-49df-848c-d6e006ff30de}">
  <ds:schemaRefs/>
</ds:datastoreItem>
</file>

<file path=customXml/itemProps8.xml><?xml version="1.0" encoding="utf-8"?>
<ds:datastoreItem xmlns:ds="http://schemas.openxmlformats.org/officeDocument/2006/customXml" ds:itemID="{520494f5-8e9e-4887-ba40-d1249bc7a70c}">
  <ds:schemaRefs/>
</ds:datastoreItem>
</file>

<file path=customXml/itemProps9.xml><?xml version="1.0" encoding="utf-8"?>
<ds:datastoreItem xmlns:ds="http://schemas.openxmlformats.org/officeDocument/2006/customXml" ds:itemID="{ef862383-f0d4-445b-b738-4d76c895cebe}">
  <ds:schemaRefs/>
</ds:datastoreItem>
</file>

<file path=docProps/app.xml><?xml version="1.0" encoding="utf-8"?>
<Properties xmlns="http://schemas.openxmlformats.org/officeDocument/2006/extended-properties" xmlns:vt="http://schemas.openxmlformats.org/officeDocument/2006/docPropsVTypes">
  <Pages>32</Pages>
  <Words>7876</Words>
  <Characters>8410</Characters>
  <Lines>0</Lines>
  <Paragraphs>0</Paragraphs>
  <TotalTime>4</TotalTime>
  <ScaleCrop>false</ScaleCrop>
  <LinksUpToDate>false</LinksUpToDate>
  <CharactersWithSpaces>8546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2022-07-27T10:25:00Z</dcterms:created>
  <dc:creator>Administrator</dc:creator>
  <cp:lastModifiedBy>小叮铛</cp:lastModifiedBy>
  <cp:lastPrinted>2022-07-28T06:25:00Z</cp:lastPrinted>
  <dcterms:modified xsi:type="dcterms:W3CDTF">2023-09-04T08:10:08Z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3EB3BA6BEBF3430FAA8E4074BB773FFD</vt:lpwstr>
  </property>
</Properties>
</file>